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AB" w:rsidRPr="00C906B2" w:rsidRDefault="003213DB" w:rsidP="00B614EA">
      <w:pPr>
        <w:spacing w:after="0" w:line="48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M</w:t>
      </w:r>
      <w:r w:rsidR="00183BAB" w:rsidRPr="00C906B2">
        <w:rPr>
          <w:rFonts w:ascii="Century Gothic" w:hAnsi="Century Gothic"/>
          <w:b/>
          <w:sz w:val="24"/>
          <w:szCs w:val="24"/>
        </w:rPr>
        <w:t xml:space="preserve">icronutrientes </w:t>
      </w:r>
      <w:r>
        <w:rPr>
          <w:rFonts w:ascii="Century Gothic" w:hAnsi="Century Gothic"/>
          <w:b/>
          <w:sz w:val="24"/>
          <w:szCs w:val="24"/>
        </w:rPr>
        <w:t>foliares na</w:t>
      </w:r>
      <w:r w:rsidR="00183BAB" w:rsidRPr="00C906B2">
        <w:rPr>
          <w:rFonts w:ascii="Century Gothic" w:hAnsi="Century Gothic"/>
          <w:b/>
          <w:sz w:val="24"/>
          <w:szCs w:val="24"/>
        </w:rPr>
        <w:t xml:space="preserve"> goiab</w:t>
      </w:r>
      <w:r>
        <w:rPr>
          <w:rFonts w:ascii="Century Gothic" w:hAnsi="Century Gothic"/>
          <w:b/>
          <w:sz w:val="24"/>
          <w:szCs w:val="24"/>
        </w:rPr>
        <w:t xml:space="preserve">eira fertirrigada com </w:t>
      </w:r>
      <w:r w:rsidRPr="00C906B2">
        <w:rPr>
          <w:rFonts w:ascii="Century Gothic" w:hAnsi="Century Gothic"/>
          <w:b/>
          <w:sz w:val="24"/>
          <w:szCs w:val="24"/>
        </w:rPr>
        <w:t>biofertilizante</w:t>
      </w:r>
      <w:r>
        <w:rPr>
          <w:rFonts w:ascii="Century Gothic" w:hAnsi="Century Gothic"/>
          <w:b/>
          <w:sz w:val="24"/>
          <w:szCs w:val="24"/>
        </w:rPr>
        <w:t xml:space="preserve"> e nitrogênio no semiárido</w:t>
      </w:r>
    </w:p>
    <w:p w:rsidR="003213DB" w:rsidRDefault="003213DB" w:rsidP="00B614EA">
      <w:pPr>
        <w:spacing w:after="0" w:line="48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33FA4" w:rsidRPr="00C906B2" w:rsidRDefault="00EA76B8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2E6094">
        <w:rPr>
          <w:rFonts w:ascii="Century Gothic" w:hAnsi="Century Gothic"/>
          <w:b/>
          <w:sz w:val="24"/>
          <w:szCs w:val="24"/>
        </w:rPr>
        <w:t>R</w:t>
      </w:r>
      <w:r w:rsidR="00095D01" w:rsidRPr="002E6094">
        <w:rPr>
          <w:rFonts w:ascii="Century Gothic" w:hAnsi="Century Gothic"/>
          <w:b/>
          <w:sz w:val="24"/>
          <w:szCs w:val="24"/>
        </w:rPr>
        <w:t>esumo</w:t>
      </w:r>
    </w:p>
    <w:p w:rsidR="0032340B" w:rsidRPr="002B35B2" w:rsidRDefault="00962F92" w:rsidP="00B614EA">
      <w:pPr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Demandados</w:t>
      </w:r>
      <w:r w:rsidR="00095D01" w:rsidRPr="00C906B2">
        <w:rPr>
          <w:rFonts w:ascii="Century Gothic" w:hAnsi="Century Gothic" w:cs="Arial"/>
          <w:sz w:val="24"/>
          <w:szCs w:val="24"/>
          <w:lang w:val="pt-PT"/>
        </w:rPr>
        <w:t xml:space="preserve"> em pequena</w:t>
      </w:r>
      <w:r>
        <w:rPr>
          <w:rFonts w:ascii="Century Gothic" w:hAnsi="Century Gothic" w:cs="Arial"/>
          <w:sz w:val="24"/>
          <w:szCs w:val="24"/>
          <w:lang w:val="pt-PT"/>
        </w:rPr>
        <w:t>s</w:t>
      </w:r>
      <w:r w:rsidR="00095D01" w:rsidRPr="00C906B2">
        <w:rPr>
          <w:rFonts w:ascii="Century Gothic" w:hAnsi="Century Gothic" w:cs="Arial"/>
          <w:sz w:val="24"/>
          <w:szCs w:val="24"/>
          <w:lang w:val="pt-PT"/>
        </w:rPr>
        <w:t xml:space="preserve"> quantidade</w:t>
      </w:r>
      <w:r>
        <w:rPr>
          <w:rFonts w:ascii="Century Gothic" w:hAnsi="Century Gothic" w:cs="Arial"/>
          <w:sz w:val="24"/>
          <w:szCs w:val="24"/>
          <w:lang w:val="pt-PT"/>
        </w:rPr>
        <w:t>s</w:t>
      </w:r>
      <w:r w:rsidR="00CF4F89" w:rsidRPr="00C906B2">
        <w:rPr>
          <w:rFonts w:ascii="Century Gothic" w:hAnsi="Century Gothic" w:cs="Arial"/>
          <w:sz w:val="24"/>
          <w:szCs w:val="24"/>
          <w:lang w:val="pt-PT"/>
        </w:rPr>
        <w:t>,</w:t>
      </w:r>
      <w:r w:rsidR="005274A0" w:rsidRPr="00C906B2">
        <w:rPr>
          <w:rFonts w:ascii="Century Gothic" w:hAnsi="Century Gothic" w:cs="Arial"/>
          <w:sz w:val="24"/>
          <w:szCs w:val="24"/>
          <w:lang w:val="pt-PT"/>
        </w:rPr>
        <w:t xml:space="preserve"> os micronutrientes </w:t>
      </w:r>
      <w:r w:rsidR="00402EBA" w:rsidRPr="00C906B2">
        <w:rPr>
          <w:rFonts w:ascii="Century Gothic" w:hAnsi="Century Gothic" w:cs="Arial"/>
          <w:sz w:val="24"/>
          <w:szCs w:val="24"/>
          <w:lang w:val="pt-PT"/>
        </w:rPr>
        <w:t>exercem papel fundamental</w:t>
      </w:r>
      <w:r w:rsidR="005274A0" w:rsidRPr="00C906B2">
        <w:rPr>
          <w:rFonts w:ascii="Century Gothic" w:hAnsi="Century Gothic" w:cs="Arial"/>
          <w:sz w:val="24"/>
          <w:szCs w:val="24"/>
          <w:lang w:val="pt-PT"/>
        </w:rPr>
        <w:t xml:space="preserve"> para o desen</w:t>
      </w:r>
      <w:r w:rsidR="00095D01" w:rsidRPr="00C906B2">
        <w:rPr>
          <w:rFonts w:ascii="Century Gothic" w:hAnsi="Century Gothic" w:cs="Arial"/>
          <w:sz w:val="24"/>
          <w:szCs w:val="24"/>
          <w:lang w:val="pt-PT"/>
        </w:rPr>
        <w:t xml:space="preserve">volvimento adequado </w:t>
      </w:r>
      <w:r w:rsidR="001B314F" w:rsidRPr="00C906B2">
        <w:rPr>
          <w:rFonts w:ascii="Century Gothic" w:hAnsi="Century Gothic" w:cs="Arial"/>
          <w:sz w:val="24"/>
          <w:szCs w:val="24"/>
          <w:lang w:val="pt-PT"/>
        </w:rPr>
        <w:t>das plantas</w:t>
      </w:r>
      <w:r w:rsidR="002A77CD">
        <w:rPr>
          <w:rFonts w:ascii="Century Gothic" w:hAnsi="Century Gothic" w:cs="Arial"/>
          <w:sz w:val="24"/>
          <w:szCs w:val="24"/>
          <w:lang w:val="pt-PT"/>
        </w:rPr>
        <w:t xml:space="preserve"> </w:t>
      </w:r>
      <w:r w:rsidR="003C6971">
        <w:rPr>
          <w:rFonts w:ascii="Century Gothic" w:hAnsi="Century Gothic" w:cs="Arial"/>
          <w:sz w:val="24"/>
          <w:szCs w:val="24"/>
          <w:lang w:val="pt-PT"/>
        </w:rPr>
        <w:t>e podem ser fornecidos por insumos sintéticos ou orgânicos, como os biofertilizantes.</w:t>
      </w:r>
      <w:r w:rsidR="00E73CCC">
        <w:rPr>
          <w:rFonts w:ascii="Century Gothic" w:hAnsi="Century Gothic" w:cs="Arial"/>
          <w:sz w:val="24"/>
          <w:szCs w:val="24"/>
          <w:lang w:val="pt-PT"/>
        </w:rPr>
        <w:t xml:space="preserve"> 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>Dessa forma, u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 xml:space="preserve">m experimento 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 xml:space="preserve">foi conduzido </w:t>
      </w:r>
      <w:r w:rsidR="005274A0" w:rsidRPr="00C906B2">
        <w:rPr>
          <w:rFonts w:ascii="Century Gothic" w:hAnsi="Century Gothic" w:cs="Arial"/>
          <w:sz w:val="24"/>
          <w:szCs w:val="24"/>
          <w:lang w:val="pt-PT"/>
        </w:rPr>
        <w:t xml:space="preserve">entre </w:t>
      </w:r>
      <w:r w:rsidR="00CF4F89" w:rsidRPr="00C906B2">
        <w:rPr>
          <w:rFonts w:ascii="Century Gothic" w:hAnsi="Century Gothic" w:cs="Arial"/>
          <w:sz w:val="24"/>
          <w:szCs w:val="24"/>
          <w:lang w:val="pt-PT"/>
        </w:rPr>
        <w:t>julho de 2014 e</w:t>
      </w:r>
      <w:r w:rsidR="005274A0" w:rsidRPr="00C906B2">
        <w:rPr>
          <w:rFonts w:ascii="Century Gothic" w:hAnsi="Century Gothic" w:cs="Arial"/>
          <w:sz w:val="24"/>
          <w:szCs w:val="24"/>
          <w:lang w:val="pt-PT"/>
        </w:rPr>
        <w:t xml:space="preserve"> agosto de 2015</w:t>
      </w:r>
      <w:r w:rsidR="00CF4F89" w:rsidRPr="00C906B2">
        <w:rPr>
          <w:rFonts w:ascii="Century Gothic" w:hAnsi="Century Gothic" w:cs="Arial"/>
          <w:sz w:val="24"/>
          <w:szCs w:val="24"/>
          <w:lang w:val="pt-PT"/>
        </w:rPr>
        <w:t>,</w:t>
      </w:r>
      <w:r w:rsidR="00E73CCC">
        <w:rPr>
          <w:rFonts w:ascii="Century Gothic" w:hAnsi="Century Gothic" w:cs="Arial"/>
          <w:sz w:val="24"/>
          <w:szCs w:val="24"/>
          <w:lang w:val="pt-PT"/>
        </w:rPr>
        <w:t xml:space="preserve"> </w:t>
      </w:r>
      <w:r w:rsidR="00CF4F89" w:rsidRPr="00C906B2">
        <w:rPr>
          <w:rFonts w:ascii="Century Gothic" w:hAnsi="Century Gothic" w:cs="Arial"/>
          <w:bCs/>
          <w:sz w:val="24"/>
          <w:szCs w:val="24"/>
        </w:rPr>
        <w:t xml:space="preserve">na </w:t>
      </w:r>
      <w:r w:rsidR="0035338F">
        <w:rPr>
          <w:rFonts w:ascii="Century Gothic" w:hAnsi="Century Gothic" w:cs="Arial"/>
          <w:bCs/>
          <w:sz w:val="24"/>
          <w:szCs w:val="24"/>
        </w:rPr>
        <w:t>área</w:t>
      </w:r>
      <w:r w:rsidR="00CF4F89" w:rsidRPr="00C906B2">
        <w:rPr>
          <w:rFonts w:ascii="Century Gothic" w:hAnsi="Century Gothic" w:cs="Arial"/>
          <w:bCs/>
          <w:sz w:val="24"/>
          <w:szCs w:val="24"/>
        </w:rPr>
        <w:t xml:space="preserve"> experimental da Universidade Federal do Vale do São Francis</w:t>
      </w:r>
      <w:r w:rsidR="00C24EE9" w:rsidRPr="00C906B2">
        <w:rPr>
          <w:rFonts w:ascii="Century Gothic" w:hAnsi="Century Gothic" w:cs="Arial"/>
          <w:bCs/>
          <w:sz w:val="24"/>
          <w:szCs w:val="24"/>
        </w:rPr>
        <w:t>co, Petrolina-PE,</w:t>
      </w:r>
      <w:r w:rsidR="00E73CCC">
        <w:rPr>
          <w:rFonts w:ascii="Century Gothic" w:hAnsi="Century Gothic" w:cs="Arial"/>
          <w:bCs/>
          <w:sz w:val="24"/>
          <w:szCs w:val="24"/>
        </w:rPr>
        <w:t xml:space="preserve">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 xml:space="preserve">para avaliar </w:t>
      </w:r>
      <w:r w:rsidR="0032340B">
        <w:rPr>
          <w:rFonts w:ascii="Century Gothic" w:hAnsi="Century Gothic" w:cs="Arial"/>
          <w:sz w:val="24"/>
          <w:szCs w:val="24"/>
          <w:lang w:val="pt-PT"/>
        </w:rPr>
        <w:t xml:space="preserve">os teores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foliares de micronutrientes em</w:t>
      </w:r>
      <w:r w:rsidR="005274A0" w:rsidRPr="00C906B2">
        <w:rPr>
          <w:rFonts w:ascii="Century Gothic" w:hAnsi="Century Gothic" w:cs="Arial"/>
          <w:sz w:val="24"/>
          <w:szCs w:val="24"/>
          <w:lang w:val="pt-PT"/>
        </w:rPr>
        <w:t xml:space="preserve"> goiabeira</w:t>
      </w:r>
      <w:r w:rsidR="0032340B">
        <w:rPr>
          <w:rFonts w:ascii="Century Gothic" w:hAnsi="Century Gothic" w:cs="Arial"/>
          <w:sz w:val="24"/>
          <w:szCs w:val="24"/>
          <w:lang w:val="pt-PT"/>
        </w:rPr>
        <w:t xml:space="preserve"> Paluma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e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>m função de</w:t>
      </w:r>
      <w:r w:rsidR="00E73CCC">
        <w:rPr>
          <w:rFonts w:ascii="Century Gothic" w:hAnsi="Century Gothic" w:cs="Arial"/>
          <w:sz w:val="24"/>
          <w:szCs w:val="24"/>
          <w:lang w:val="pt-PT"/>
        </w:rPr>
        <w:t xml:space="preserve"> </w:t>
      </w:r>
      <w:r w:rsidR="0032340B">
        <w:rPr>
          <w:rFonts w:ascii="Century Gothic" w:hAnsi="Century Gothic" w:cs="Arial"/>
          <w:sz w:val="24"/>
          <w:szCs w:val="24"/>
          <w:lang w:val="pt-PT"/>
        </w:rPr>
        <w:t xml:space="preserve">fertirrigação com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biofe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>rtilizante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 xml:space="preserve"> bovino e </w:t>
      </w:r>
      <w:r w:rsidR="0032340B">
        <w:rPr>
          <w:rFonts w:ascii="Century Gothic" w:hAnsi="Century Gothic" w:cs="Arial"/>
          <w:sz w:val="24"/>
          <w:szCs w:val="24"/>
          <w:lang w:val="pt-PT"/>
        </w:rPr>
        <w:t xml:space="preserve">adubação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n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>itrogenada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 xml:space="preserve">. O delineamento experimental </w:t>
      </w:r>
      <w:r w:rsidR="001D5CAE" w:rsidRPr="00C906B2">
        <w:rPr>
          <w:rFonts w:ascii="Century Gothic" w:hAnsi="Century Gothic" w:cs="Arial"/>
          <w:sz w:val="24"/>
          <w:szCs w:val="24"/>
          <w:lang w:val="pt-PT"/>
        </w:rPr>
        <w:t xml:space="preserve">foi em blocos casualizados 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em esquema fatorial (5 x 2) referentes às concentrações de b</w:t>
      </w:r>
      <w:r w:rsidR="00920E9F" w:rsidRPr="00C906B2">
        <w:rPr>
          <w:rFonts w:ascii="Century Gothic" w:hAnsi="Century Gothic" w:cs="Arial"/>
          <w:sz w:val="24"/>
          <w:szCs w:val="24"/>
          <w:lang w:val="pt-PT"/>
        </w:rPr>
        <w:t>iofertilizante</w:t>
      </w:r>
      <w:r w:rsidR="005462CF">
        <w:rPr>
          <w:rFonts w:ascii="Century Gothic" w:hAnsi="Century Gothic" w:cs="Arial"/>
          <w:sz w:val="24"/>
          <w:szCs w:val="24"/>
          <w:lang w:val="pt-PT"/>
        </w:rPr>
        <w:t xml:space="preserve"> bovino</w:t>
      </w:r>
      <w:r w:rsidR="00920E9F" w:rsidRPr="00C906B2">
        <w:rPr>
          <w:rFonts w:ascii="Century Gothic" w:hAnsi="Century Gothic" w:cs="Arial"/>
          <w:sz w:val="24"/>
          <w:szCs w:val="24"/>
          <w:lang w:val="pt-PT"/>
        </w:rPr>
        <w:t xml:space="preserve"> (0, 2,5, 5,0, 7,5 e 10%)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 xml:space="preserve"> e adubação mineral com nitrogênio (50% e 100% do recomendado </w:t>
      </w:r>
      <w:r w:rsidR="0032340B">
        <w:rPr>
          <w:rFonts w:ascii="Century Gothic" w:hAnsi="Century Gothic" w:cs="Arial"/>
          <w:sz w:val="24"/>
          <w:szCs w:val="24"/>
          <w:lang w:val="pt-PT"/>
        </w:rPr>
        <w:t>segundo a demanda da cultura</w:t>
      </w:r>
      <w:r w:rsidR="00FE0777" w:rsidRPr="00C906B2">
        <w:rPr>
          <w:rFonts w:ascii="Century Gothic" w:hAnsi="Century Gothic" w:cs="Arial"/>
          <w:sz w:val="24"/>
          <w:szCs w:val="24"/>
          <w:lang w:val="pt-PT"/>
        </w:rPr>
        <w:t>), com quatro repetições e cinco plantas por parcela.</w:t>
      </w:r>
      <w:r w:rsidR="00E73CCC">
        <w:rPr>
          <w:rFonts w:ascii="Century Gothic" w:hAnsi="Century Gothic" w:cs="Arial"/>
          <w:sz w:val="24"/>
          <w:szCs w:val="24"/>
          <w:lang w:val="pt-PT"/>
        </w:rPr>
        <w:t xml:space="preserve"> </w:t>
      </w:r>
      <w:r w:rsidR="0032340B">
        <w:rPr>
          <w:rFonts w:ascii="Century Gothic" w:hAnsi="Century Gothic"/>
          <w:sz w:val="24"/>
          <w:szCs w:val="24"/>
        </w:rPr>
        <w:t>Apenas os teores foliares de Mn</w:t>
      </w:r>
      <w:r w:rsidR="00E73CCC">
        <w:rPr>
          <w:rFonts w:ascii="Century Gothic" w:hAnsi="Century Gothic"/>
          <w:sz w:val="24"/>
          <w:szCs w:val="24"/>
        </w:rPr>
        <w:t xml:space="preserve"> </w:t>
      </w:r>
      <w:r w:rsidR="0032340B">
        <w:rPr>
          <w:rFonts w:ascii="Century Gothic" w:hAnsi="Century Gothic"/>
          <w:sz w:val="24"/>
          <w:szCs w:val="24"/>
        </w:rPr>
        <w:t>são afetados pelo biofertilizante bovino em goiabeiras fertirrigadas com 100% de N. Os teores foliares de todos os micronutrientes (Mn, B, Fe e Zn) não são influenciados pela fertirrigação nitrogenada. O biofertilizante é eficiente no fornecimento de Fe.</w:t>
      </w:r>
    </w:p>
    <w:p w:rsidR="00EA76B8" w:rsidRDefault="00EA76B8" w:rsidP="00B614EA">
      <w:pPr>
        <w:spacing w:after="0" w:line="480" w:lineRule="auto"/>
        <w:rPr>
          <w:rFonts w:ascii="Century Gothic" w:hAnsi="Century Gothic"/>
          <w:sz w:val="24"/>
          <w:szCs w:val="24"/>
        </w:rPr>
      </w:pPr>
      <w:r w:rsidRPr="002E6094">
        <w:rPr>
          <w:rFonts w:ascii="Century Gothic" w:hAnsi="Century Gothic"/>
          <w:b/>
          <w:sz w:val="24"/>
          <w:szCs w:val="24"/>
        </w:rPr>
        <w:t>P</w:t>
      </w:r>
      <w:r w:rsidR="00095D01" w:rsidRPr="002E6094">
        <w:rPr>
          <w:rFonts w:ascii="Century Gothic" w:hAnsi="Century Gothic"/>
          <w:b/>
          <w:sz w:val="24"/>
          <w:szCs w:val="24"/>
        </w:rPr>
        <w:t>alavras-chave:</w:t>
      </w:r>
      <w:r w:rsidR="006A64B0">
        <w:rPr>
          <w:rFonts w:ascii="Century Gothic" w:hAnsi="Century Gothic"/>
          <w:b/>
          <w:sz w:val="24"/>
          <w:szCs w:val="24"/>
        </w:rPr>
        <w:t xml:space="preserve"> </w:t>
      </w:r>
      <w:r w:rsidR="00BB267A" w:rsidRPr="00C906B2">
        <w:rPr>
          <w:rFonts w:ascii="Century Gothic" w:hAnsi="Century Gothic"/>
          <w:i/>
          <w:sz w:val="24"/>
          <w:szCs w:val="24"/>
        </w:rPr>
        <w:t>Psidium guajava</w:t>
      </w:r>
      <w:r w:rsidR="00BB267A" w:rsidRPr="00C906B2">
        <w:rPr>
          <w:rFonts w:ascii="Century Gothic" w:hAnsi="Century Gothic"/>
          <w:sz w:val="24"/>
          <w:szCs w:val="24"/>
        </w:rPr>
        <w:t xml:space="preserve"> L.</w:t>
      </w:r>
      <w:r w:rsidR="00872D1A" w:rsidRPr="00C906B2">
        <w:rPr>
          <w:rFonts w:ascii="Century Gothic" w:hAnsi="Century Gothic"/>
          <w:sz w:val="24"/>
          <w:szCs w:val="24"/>
        </w:rPr>
        <w:t xml:space="preserve">, matéria orgânica, nutrição </w:t>
      </w:r>
      <w:r w:rsidR="008F00A6">
        <w:rPr>
          <w:rFonts w:ascii="Century Gothic" w:hAnsi="Century Gothic"/>
          <w:sz w:val="24"/>
          <w:szCs w:val="24"/>
        </w:rPr>
        <w:t>de plantas</w:t>
      </w:r>
    </w:p>
    <w:p w:rsidR="00B85109" w:rsidRDefault="00B85109" w:rsidP="00D32D28">
      <w:pPr>
        <w:spacing w:after="0" w:line="480" w:lineRule="auto"/>
        <w:jc w:val="center"/>
        <w:rPr>
          <w:rFonts w:ascii="Century Gothic" w:hAnsi="Century Gothic"/>
          <w:sz w:val="24"/>
          <w:szCs w:val="24"/>
          <w:lang w:val="en-US"/>
        </w:rPr>
      </w:pPr>
    </w:p>
    <w:p w:rsidR="00D32D28" w:rsidRPr="00871657" w:rsidRDefault="00871657" w:rsidP="00D32D28">
      <w:pPr>
        <w:spacing w:after="0" w:line="480" w:lineRule="auto"/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871657">
        <w:rPr>
          <w:rFonts w:ascii="Century Gothic" w:hAnsi="Century Gothic"/>
          <w:b/>
          <w:sz w:val="24"/>
          <w:szCs w:val="24"/>
          <w:lang w:val="en-US"/>
        </w:rPr>
        <w:t xml:space="preserve">Leaf micronutrients </w:t>
      </w:r>
      <w:r w:rsidR="00D32D28" w:rsidRPr="00871657">
        <w:rPr>
          <w:rFonts w:ascii="Century Gothic" w:hAnsi="Century Gothic"/>
          <w:b/>
          <w:sz w:val="24"/>
          <w:szCs w:val="24"/>
          <w:lang w:val="en-US"/>
        </w:rPr>
        <w:t xml:space="preserve">in guava </w:t>
      </w:r>
      <w:r>
        <w:rPr>
          <w:rFonts w:ascii="Century Gothic" w:hAnsi="Century Gothic"/>
          <w:b/>
          <w:sz w:val="24"/>
          <w:szCs w:val="24"/>
          <w:lang w:val="en-US"/>
        </w:rPr>
        <w:t>ferti</w:t>
      </w:r>
      <w:r w:rsidRPr="00871657">
        <w:rPr>
          <w:rFonts w:ascii="Century Gothic" w:hAnsi="Century Gothic"/>
          <w:b/>
          <w:sz w:val="24"/>
          <w:szCs w:val="24"/>
          <w:lang w:val="en-US"/>
        </w:rPr>
        <w:t>gated</w:t>
      </w:r>
      <w:r w:rsidRPr="00871657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D32D28" w:rsidRPr="00871657">
        <w:rPr>
          <w:rFonts w:ascii="Century Gothic" w:hAnsi="Century Gothic"/>
          <w:b/>
          <w:sz w:val="24"/>
          <w:szCs w:val="24"/>
          <w:lang w:val="en-US"/>
        </w:rPr>
        <w:t>with biofertilizer and nitrogen in semiarid</w:t>
      </w:r>
    </w:p>
    <w:p w:rsidR="006A64B0" w:rsidRPr="00D32D28" w:rsidRDefault="006A64B0" w:rsidP="006A64B0">
      <w:pPr>
        <w:spacing w:after="0" w:line="480" w:lineRule="auto"/>
        <w:rPr>
          <w:rFonts w:ascii="Century Gothic" w:hAnsi="Century Gothic"/>
          <w:sz w:val="24"/>
          <w:szCs w:val="24"/>
          <w:lang w:val="en-US"/>
        </w:rPr>
      </w:pPr>
    </w:p>
    <w:p w:rsidR="00EA76B8" w:rsidRPr="006A64B0" w:rsidRDefault="00EA76B8" w:rsidP="00B614EA">
      <w:pPr>
        <w:spacing w:after="0" w:line="480" w:lineRule="auto"/>
        <w:rPr>
          <w:rFonts w:ascii="Century Gothic" w:hAnsi="Century Gothic"/>
          <w:sz w:val="24"/>
          <w:szCs w:val="24"/>
          <w:lang w:val="en-US"/>
        </w:rPr>
      </w:pPr>
      <w:r w:rsidRPr="006A64B0">
        <w:rPr>
          <w:rFonts w:ascii="Century Gothic" w:hAnsi="Century Gothic"/>
          <w:b/>
          <w:sz w:val="24"/>
          <w:szCs w:val="24"/>
          <w:lang w:val="en-US"/>
        </w:rPr>
        <w:t>A</w:t>
      </w:r>
      <w:r w:rsidR="00095D01" w:rsidRPr="006A64B0">
        <w:rPr>
          <w:rFonts w:ascii="Century Gothic" w:hAnsi="Century Gothic"/>
          <w:b/>
          <w:sz w:val="24"/>
          <w:szCs w:val="24"/>
          <w:lang w:val="en-US"/>
        </w:rPr>
        <w:t>bstract</w:t>
      </w:r>
    </w:p>
    <w:p w:rsidR="00871657" w:rsidRDefault="00E01363" w:rsidP="00871657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lastRenderedPageBreak/>
        <w:t>Required i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>n small</w:t>
      </w:r>
      <w:r>
        <w:rPr>
          <w:rFonts w:ascii="Century Gothic" w:hAnsi="Century Gothic"/>
          <w:sz w:val="24"/>
          <w:szCs w:val="24"/>
          <w:lang w:val="en-US"/>
        </w:rPr>
        <w:t xml:space="preserve"> amounts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 xml:space="preserve">, micronutrients play a key role </w:t>
      </w:r>
      <w:r>
        <w:rPr>
          <w:rFonts w:ascii="Century Gothic" w:hAnsi="Century Gothic"/>
          <w:sz w:val="24"/>
          <w:szCs w:val="24"/>
          <w:lang w:val="en-US"/>
        </w:rPr>
        <w:t xml:space="preserve">for </w:t>
      </w:r>
      <w:r w:rsidR="002A77CD">
        <w:rPr>
          <w:rFonts w:ascii="Century Gothic" w:hAnsi="Century Gothic"/>
          <w:sz w:val="24"/>
          <w:szCs w:val="24"/>
          <w:lang w:val="en-US"/>
        </w:rPr>
        <w:t xml:space="preserve">adequate plant 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 xml:space="preserve">development, which can be supplied by synthetic or organic </w:t>
      </w:r>
      <w:r w:rsidR="002A77CD">
        <w:rPr>
          <w:rFonts w:ascii="Century Gothic" w:hAnsi="Century Gothic"/>
          <w:sz w:val="24"/>
          <w:szCs w:val="24"/>
          <w:lang w:val="en-US"/>
        </w:rPr>
        <w:t>fertilizers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>, such as biofertilizers.</w:t>
      </w:r>
      <w:r w:rsidR="006A64B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>Thus, an experiment was conducted between July 2014 and August 2015, in the experimental area of the Federal University of the São Francisco Valley, Petrolina-PE</w:t>
      </w:r>
      <w:r w:rsidR="002A77CD">
        <w:rPr>
          <w:rFonts w:ascii="Century Gothic" w:hAnsi="Century Gothic"/>
          <w:sz w:val="24"/>
          <w:szCs w:val="24"/>
          <w:lang w:val="en-US"/>
        </w:rPr>
        <w:t>, Brazil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 xml:space="preserve">, to evaluate the micronutrient </w:t>
      </w:r>
      <w:r w:rsidR="002A77CD">
        <w:rPr>
          <w:rFonts w:ascii="Century Gothic" w:hAnsi="Century Gothic"/>
          <w:sz w:val="24"/>
          <w:szCs w:val="24"/>
          <w:lang w:val="en-US"/>
        </w:rPr>
        <w:t xml:space="preserve">leaf concentrations 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>of Paluma g</w:t>
      </w:r>
      <w:r w:rsidR="002A77CD">
        <w:rPr>
          <w:rFonts w:ascii="Century Gothic" w:hAnsi="Century Gothic"/>
          <w:sz w:val="24"/>
          <w:szCs w:val="24"/>
          <w:lang w:val="en-US"/>
        </w:rPr>
        <w:t>uava as a function of fert</w:t>
      </w:r>
      <w:r w:rsidR="006A64B0" w:rsidRPr="00834F38">
        <w:rPr>
          <w:rFonts w:ascii="Century Gothic" w:hAnsi="Century Gothic"/>
          <w:sz w:val="24"/>
          <w:szCs w:val="24"/>
          <w:lang w:val="en-US"/>
        </w:rPr>
        <w:t>igation with bovine biofertilizer and Nitrogen fertilization.</w:t>
      </w:r>
      <w:r w:rsidR="006A64B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>The experimental design was a randomized complete block design (5 x 2)</w:t>
      </w:r>
      <w:r w:rsidR="002A77CD">
        <w:rPr>
          <w:rFonts w:ascii="Century Gothic" w:hAnsi="Century Gothic"/>
          <w:sz w:val="24"/>
          <w:szCs w:val="24"/>
          <w:lang w:val="en-US"/>
        </w:rPr>
        <w:t xml:space="preserve"> referring to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 xml:space="preserve"> the concentrations of bovine biofertilizer (0, 2.5, 5.0, 7.5 and 10%) and </w:t>
      </w:r>
      <w:r w:rsidR="002A77CD">
        <w:rPr>
          <w:rFonts w:ascii="Century Gothic" w:hAnsi="Century Gothic"/>
          <w:sz w:val="24"/>
          <w:szCs w:val="24"/>
          <w:lang w:val="en-US"/>
        </w:rPr>
        <w:t>N-fertilizing (50% and 100% o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 xml:space="preserve">f </w:t>
      </w:r>
      <w:r w:rsidR="002A77CD">
        <w:rPr>
          <w:rFonts w:ascii="Century Gothic" w:hAnsi="Century Gothic"/>
          <w:sz w:val="24"/>
          <w:szCs w:val="24"/>
          <w:lang w:val="en-US"/>
        </w:rPr>
        <w:t xml:space="preserve">N dose following plant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>demand), with four replicates and five plants per plot.</w:t>
      </w:r>
      <w:r w:rsidR="006A64B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>Only the</w:t>
      </w:r>
      <w:r w:rsidR="00B85109">
        <w:rPr>
          <w:rFonts w:ascii="Century Gothic" w:hAnsi="Century Gothic"/>
          <w:sz w:val="24"/>
          <w:szCs w:val="24"/>
          <w:lang w:val="en-US"/>
        </w:rPr>
        <w:t xml:space="preserve"> leaf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 xml:space="preserve">Mn </w:t>
      </w:r>
      <w:r w:rsidR="00B85109">
        <w:rPr>
          <w:rFonts w:ascii="Century Gothic" w:hAnsi="Century Gothic"/>
          <w:sz w:val="24"/>
          <w:szCs w:val="24"/>
          <w:lang w:val="en-US"/>
        </w:rPr>
        <w:t xml:space="preserve">concentrations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>are affected by bovine biofertilizer in guava trees ferti</w:t>
      </w:r>
      <w:r w:rsidR="00B85109">
        <w:rPr>
          <w:rFonts w:ascii="Century Gothic" w:hAnsi="Century Gothic"/>
          <w:sz w:val="24"/>
          <w:szCs w:val="24"/>
          <w:lang w:val="en-US"/>
        </w:rPr>
        <w:t>gated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 xml:space="preserve"> with 100% of </w:t>
      </w:r>
      <w:r w:rsidR="00B85109">
        <w:rPr>
          <w:rFonts w:ascii="Century Gothic" w:hAnsi="Century Gothic"/>
          <w:sz w:val="24"/>
          <w:szCs w:val="24"/>
          <w:lang w:val="en-US"/>
        </w:rPr>
        <w:t xml:space="preserve">recommended </w:t>
      </w:r>
      <w:r w:rsidR="006A64B0" w:rsidRPr="00451242">
        <w:rPr>
          <w:rFonts w:ascii="Century Gothic" w:hAnsi="Century Gothic"/>
          <w:sz w:val="24"/>
          <w:szCs w:val="24"/>
          <w:lang w:val="en-US"/>
        </w:rPr>
        <w:t>N.</w:t>
      </w:r>
      <w:r w:rsidR="006A64B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B85109">
        <w:rPr>
          <w:rFonts w:ascii="Century Gothic" w:hAnsi="Century Gothic"/>
          <w:sz w:val="24"/>
          <w:szCs w:val="24"/>
          <w:lang w:val="en-US"/>
        </w:rPr>
        <w:t xml:space="preserve">Leaf concentrations </w:t>
      </w:r>
      <w:r w:rsidR="006A64B0" w:rsidRPr="00733B40">
        <w:rPr>
          <w:rFonts w:ascii="Century Gothic" w:hAnsi="Century Gothic"/>
          <w:sz w:val="24"/>
          <w:szCs w:val="24"/>
          <w:lang w:val="en-US"/>
        </w:rPr>
        <w:t xml:space="preserve">of all the micronutrients (Mn, B, Fe and Zn) </w:t>
      </w:r>
      <w:r w:rsidR="005277E1">
        <w:rPr>
          <w:rFonts w:ascii="Century Gothic" w:hAnsi="Century Gothic"/>
          <w:sz w:val="24"/>
          <w:szCs w:val="24"/>
          <w:lang w:val="en-US"/>
        </w:rPr>
        <w:t>are not influenced by nitrogen f</w:t>
      </w:r>
      <w:r w:rsidR="006A64B0" w:rsidRPr="00733B40">
        <w:rPr>
          <w:rFonts w:ascii="Century Gothic" w:hAnsi="Century Gothic"/>
          <w:sz w:val="24"/>
          <w:szCs w:val="24"/>
          <w:lang w:val="en-US"/>
        </w:rPr>
        <w:t>ertigation.</w:t>
      </w:r>
      <w:r w:rsidR="006A64B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6A64B0" w:rsidRPr="00733B40">
        <w:rPr>
          <w:rFonts w:ascii="Century Gothic" w:hAnsi="Century Gothic"/>
          <w:sz w:val="24"/>
          <w:szCs w:val="24"/>
          <w:lang w:val="en-US"/>
        </w:rPr>
        <w:t>The biofertilizer is efficient in providing Fe.</w:t>
      </w:r>
    </w:p>
    <w:p w:rsidR="00BC5170" w:rsidRPr="00C906B2" w:rsidRDefault="00872D1A" w:rsidP="00871657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2E6094">
        <w:rPr>
          <w:rFonts w:ascii="Century Gothic" w:hAnsi="Century Gothic"/>
          <w:b/>
          <w:sz w:val="24"/>
          <w:szCs w:val="24"/>
          <w:lang w:val="en-US"/>
        </w:rPr>
        <w:t>K</w:t>
      </w:r>
      <w:r w:rsidR="00095D01" w:rsidRPr="002E6094">
        <w:rPr>
          <w:rFonts w:ascii="Century Gothic" w:hAnsi="Century Gothic"/>
          <w:b/>
          <w:sz w:val="24"/>
          <w:szCs w:val="24"/>
          <w:lang w:val="en-US"/>
        </w:rPr>
        <w:t>eywords</w:t>
      </w:r>
      <w:r w:rsidRPr="002E6094">
        <w:rPr>
          <w:rFonts w:ascii="Century Gothic" w:hAnsi="Century Gothic"/>
          <w:b/>
          <w:sz w:val="24"/>
          <w:szCs w:val="24"/>
          <w:lang w:val="en-US"/>
        </w:rPr>
        <w:t>:</w:t>
      </w:r>
      <w:r w:rsidR="00F230F9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Pr="00C906B2">
        <w:rPr>
          <w:rFonts w:ascii="Century Gothic" w:hAnsi="Century Gothic"/>
          <w:i/>
          <w:sz w:val="24"/>
          <w:szCs w:val="24"/>
          <w:lang w:val="en-US"/>
        </w:rPr>
        <w:t>Psidium guajava</w:t>
      </w:r>
      <w:r w:rsidRPr="00C906B2">
        <w:rPr>
          <w:rFonts w:ascii="Century Gothic" w:hAnsi="Century Gothic"/>
          <w:sz w:val="24"/>
          <w:szCs w:val="24"/>
          <w:lang w:val="en-US"/>
        </w:rPr>
        <w:t xml:space="preserve"> L., organic matter, plant nutrition</w:t>
      </w:r>
    </w:p>
    <w:p w:rsidR="003353D2" w:rsidRDefault="003353D2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en-US"/>
        </w:rPr>
      </w:pPr>
    </w:p>
    <w:p w:rsidR="00CA4AFF" w:rsidRPr="00C906B2" w:rsidRDefault="00BD5919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3353D2">
        <w:rPr>
          <w:rFonts w:ascii="Century Gothic" w:hAnsi="Century Gothic"/>
          <w:sz w:val="24"/>
          <w:szCs w:val="24"/>
          <w:lang w:val="en-US"/>
        </w:rPr>
        <w:tab/>
      </w:r>
      <w:r w:rsidR="00AE56D3" w:rsidRPr="00C906B2">
        <w:rPr>
          <w:rFonts w:ascii="Century Gothic" w:hAnsi="Century Gothic"/>
          <w:sz w:val="24"/>
          <w:szCs w:val="24"/>
        </w:rPr>
        <w:t>A goiabeira (</w:t>
      </w:r>
      <w:r w:rsidR="00AE56D3" w:rsidRPr="00C906B2">
        <w:rPr>
          <w:rFonts w:ascii="Century Gothic" w:hAnsi="Century Gothic"/>
          <w:i/>
          <w:sz w:val="24"/>
          <w:szCs w:val="24"/>
        </w:rPr>
        <w:t>Psidium guajava</w:t>
      </w:r>
      <w:r w:rsidR="00AE56D3" w:rsidRPr="00C906B2">
        <w:rPr>
          <w:rFonts w:ascii="Century Gothic" w:hAnsi="Century Gothic"/>
          <w:sz w:val="24"/>
          <w:szCs w:val="24"/>
        </w:rPr>
        <w:t xml:space="preserve"> L.) é uma planta originária do Norte da América do Sul, pertence à família Myrtaceae</w:t>
      </w:r>
      <w:r w:rsidR="00E1262D" w:rsidRPr="00C906B2">
        <w:rPr>
          <w:rFonts w:ascii="Century Gothic" w:hAnsi="Century Gothic"/>
          <w:sz w:val="24"/>
          <w:szCs w:val="24"/>
        </w:rPr>
        <w:t>, presente</w:t>
      </w:r>
      <w:r w:rsidR="00AE56D3" w:rsidRPr="00C906B2">
        <w:rPr>
          <w:rFonts w:ascii="Century Gothic" w:hAnsi="Century Gothic"/>
          <w:sz w:val="24"/>
          <w:szCs w:val="24"/>
        </w:rPr>
        <w:t xml:space="preserve"> principalmente em regiões tropicais e subtropicais </w:t>
      </w:r>
      <w:r w:rsidR="00C33FA4" w:rsidRPr="003353D2">
        <w:rPr>
          <w:rFonts w:ascii="Century Gothic" w:hAnsi="Century Gothic"/>
          <w:sz w:val="24"/>
          <w:szCs w:val="24"/>
        </w:rPr>
        <w:t>(</w:t>
      </w:r>
      <w:r w:rsidR="00E1262D" w:rsidRPr="003353D2">
        <w:rPr>
          <w:rFonts w:ascii="Century Gothic" w:hAnsi="Century Gothic"/>
          <w:sz w:val="24"/>
          <w:szCs w:val="24"/>
        </w:rPr>
        <w:t>C</w:t>
      </w:r>
      <w:r w:rsidR="007D111B" w:rsidRPr="003353D2">
        <w:rPr>
          <w:rFonts w:ascii="Century Gothic" w:hAnsi="Century Gothic"/>
          <w:sz w:val="24"/>
          <w:szCs w:val="24"/>
        </w:rPr>
        <w:t xml:space="preserve">avalcante et </w:t>
      </w:r>
      <w:r w:rsidR="00A60943">
        <w:rPr>
          <w:rFonts w:ascii="Century Gothic" w:hAnsi="Century Gothic"/>
          <w:sz w:val="24"/>
          <w:szCs w:val="24"/>
        </w:rPr>
        <w:t>al.</w:t>
      </w:r>
      <w:r w:rsidR="00E1262D" w:rsidRPr="003353D2">
        <w:rPr>
          <w:rFonts w:ascii="Century Gothic" w:hAnsi="Century Gothic"/>
          <w:sz w:val="24"/>
          <w:szCs w:val="24"/>
        </w:rPr>
        <w:t>, 2010).</w:t>
      </w:r>
      <w:r w:rsidR="00AE56D3" w:rsidRPr="00C906B2">
        <w:rPr>
          <w:rFonts w:ascii="Century Gothic" w:hAnsi="Century Gothic"/>
          <w:sz w:val="24"/>
          <w:szCs w:val="24"/>
        </w:rPr>
        <w:t xml:space="preserve">No Brasil, </w:t>
      </w:r>
      <w:r w:rsidR="00442F0F">
        <w:rPr>
          <w:rFonts w:ascii="Century Gothic" w:hAnsi="Century Gothic"/>
          <w:sz w:val="24"/>
          <w:szCs w:val="24"/>
        </w:rPr>
        <w:t xml:space="preserve">aproximadamente </w:t>
      </w:r>
      <w:r w:rsidR="00AE56D3" w:rsidRPr="00C906B2">
        <w:rPr>
          <w:rFonts w:ascii="Century Gothic" w:hAnsi="Century Gothic"/>
          <w:sz w:val="24"/>
          <w:szCs w:val="24"/>
        </w:rPr>
        <w:t>32% da produção de goiaba é proveniente de regiõe</w:t>
      </w:r>
      <w:r w:rsidR="00B76148" w:rsidRPr="00C906B2">
        <w:rPr>
          <w:rFonts w:ascii="Century Gothic" w:hAnsi="Century Gothic"/>
          <w:sz w:val="24"/>
          <w:szCs w:val="24"/>
        </w:rPr>
        <w:t xml:space="preserve">s de clima </w:t>
      </w:r>
      <w:r w:rsidR="00B76148" w:rsidRPr="003353D2">
        <w:rPr>
          <w:rFonts w:ascii="Century Gothic" w:hAnsi="Century Gothic"/>
          <w:sz w:val="24"/>
          <w:szCs w:val="24"/>
        </w:rPr>
        <w:t>semiárido (IBGE, 2016</w:t>
      </w:r>
      <w:r w:rsidR="00EA35A6" w:rsidRPr="003353D2">
        <w:rPr>
          <w:rFonts w:ascii="Century Gothic" w:hAnsi="Century Gothic"/>
          <w:sz w:val="24"/>
          <w:szCs w:val="24"/>
        </w:rPr>
        <w:t>).</w:t>
      </w:r>
    </w:p>
    <w:p w:rsidR="00661188" w:rsidRPr="00C906B2" w:rsidRDefault="00661188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  <w:t xml:space="preserve">Na região Nordeste, </w:t>
      </w:r>
      <w:r w:rsidR="00442F0F">
        <w:rPr>
          <w:rFonts w:ascii="Century Gothic" w:hAnsi="Century Gothic"/>
          <w:sz w:val="24"/>
          <w:szCs w:val="24"/>
        </w:rPr>
        <w:t>a</w:t>
      </w:r>
      <w:r w:rsidRPr="00C906B2">
        <w:rPr>
          <w:rFonts w:ascii="Century Gothic" w:hAnsi="Century Gothic"/>
          <w:sz w:val="24"/>
          <w:szCs w:val="24"/>
        </w:rPr>
        <w:t xml:space="preserve"> regi</w:t>
      </w:r>
      <w:r w:rsidR="00442F0F">
        <w:rPr>
          <w:rFonts w:ascii="Century Gothic" w:hAnsi="Century Gothic"/>
          <w:sz w:val="24"/>
          <w:szCs w:val="24"/>
        </w:rPr>
        <w:t>ão semiárida</w:t>
      </w:r>
      <w:r w:rsidR="001D220F">
        <w:rPr>
          <w:rFonts w:ascii="Century Gothic" w:hAnsi="Century Gothic"/>
          <w:sz w:val="24"/>
          <w:szCs w:val="24"/>
        </w:rPr>
        <w:t xml:space="preserve"> </w:t>
      </w:r>
      <w:r w:rsidR="00442F0F">
        <w:rPr>
          <w:rFonts w:ascii="Century Gothic" w:hAnsi="Century Gothic"/>
          <w:sz w:val="24"/>
          <w:szCs w:val="24"/>
        </w:rPr>
        <w:t xml:space="preserve">beneficiada pela bacia do </w:t>
      </w:r>
      <w:r w:rsidRPr="00C906B2">
        <w:rPr>
          <w:rFonts w:ascii="Century Gothic" w:hAnsi="Century Gothic"/>
          <w:sz w:val="24"/>
          <w:szCs w:val="24"/>
        </w:rPr>
        <w:t>rio São Francisco concentra importantes áreas produtivas</w:t>
      </w:r>
      <w:r w:rsidR="00BB4249">
        <w:rPr>
          <w:rFonts w:ascii="Century Gothic" w:hAnsi="Century Gothic"/>
          <w:sz w:val="24"/>
          <w:szCs w:val="24"/>
        </w:rPr>
        <w:t xml:space="preserve"> de goiaba,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442F0F">
        <w:rPr>
          <w:rFonts w:ascii="Century Gothic" w:hAnsi="Century Gothic"/>
          <w:sz w:val="24"/>
          <w:szCs w:val="24"/>
        </w:rPr>
        <w:t xml:space="preserve">pois possui </w:t>
      </w:r>
      <w:r w:rsidRPr="00C906B2">
        <w:rPr>
          <w:rFonts w:ascii="Century Gothic" w:hAnsi="Century Gothic"/>
          <w:sz w:val="24"/>
          <w:szCs w:val="24"/>
        </w:rPr>
        <w:t>além d</w:t>
      </w:r>
      <w:r w:rsidR="00442F0F">
        <w:rPr>
          <w:rFonts w:ascii="Century Gothic" w:hAnsi="Century Gothic"/>
          <w:sz w:val="24"/>
          <w:szCs w:val="24"/>
        </w:rPr>
        <w:t>e disponibilidade hídrica</w:t>
      </w:r>
      <w:r w:rsidRPr="00C906B2">
        <w:rPr>
          <w:rFonts w:ascii="Century Gothic" w:hAnsi="Century Gothic"/>
          <w:sz w:val="24"/>
          <w:szCs w:val="24"/>
        </w:rPr>
        <w:t>, as condições de clima e solo favoráveis ao cultivo (</w:t>
      </w:r>
      <w:r w:rsidRPr="003353D2">
        <w:rPr>
          <w:rFonts w:ascii="Century Gothic" w:hAnsi="Century Gothic"/>
          <w:sz w:val="24"/>
          <w:szCs w:val="24"/>
        </w:rPr>
        <w:t>R</w:t>
      </w:r>
      <w:r w:rsidR="00D32AFC" w:rsidRPr="003353D2">
        <w:rPr>
          <w:rFonts w:ascii="Century Gothic" w:hAnsi="Century Gothic"/>
          <w:sz w:val="24"/>
          <w:szCs w:val="24"/>
        </w:rPr>
        <w:t>odrigues</w:t>
      </w:r>
      <w:r w:rsidRPr="00C906B2">
        <w:rPr>
          <w:rFonts w:ascii="Century Gothic" w:hAnsi="Century Gothic"/>
          <w:sz w:val="24"/>
          <w:szCs w:val="24"/>
        </w:rPr>
        <w:t xml:space="preserve"> et al., 2015).</w:t>
      </w:r>
    </w:p>
    <w:p w:rsidR="00AE56D3" w:rsidRPr="00C906B2" w:rsidRDefault="00CA4AFF" w:rsidP="00286ED3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lastRenderedPageBreak/>
        <w:tab/>
      </w:r>
      <w:r w:rsidR="00E0197A">
        <w:rPr>
          <w:rFonts w:ascii="Century Gothic" w:hAnsi="Century Gothic"/>
          <w:sz w:val="24"/>
          <w:szCs w:val="24"/>
        </w:rPr>
        <w:t>No cultivo da goiabeira, o</w:t>
      </w:r>
      <w:r w:rsidR="00AE56D3" w:rsidRPr="00C906B2">
        <w:rPr>
          <w:rFonts w:ascii="Century Gothic" w:hAnsi="Century Gothic"/>
          <w:sz w:val="24"/>
          <w:szCs w:val="24"/>
        </w:rPr>
        <w:t xml:space="preserve"> manejo adequado</w:t>
      </w:r>
      <w:r w:rsidR="00286ED3" w:rsidRPr="00C906B2">
        <w:rPr>
          <w:rFonts w:ascii="Century Gothic" w:hAnsi="Century Gothic"/>
          <w:sz w:val="24"/>
          <w:szCs w:val="24"/>
        </w:rPr>
        <w:t xml:space="preserve"> da fertilidade do solo é </w:t>
      </w:r>
      <w:r w:rsidR="0077264D" w:rsidRPr="00C906B2">
        <w:rPr>
          <w:rFonts w:ascii="Century Gothic" w:hAnsi="Century Gothic"/>
          <w:sz w:val="24"/>
          <w:szCs w:val="24"/>
        </w:rPr>
        <w:t>fundamental para que a absorção dos nutrientes seja realizada de forma equilibrada refletindo n</w:t>
      </w:r>
      <w:r w:rsidR="00AE56D3" w:rsidRPr="00C906B2">
        <w:rPr>
          <w:rFonts w:ascii="Century Gothic" w:hAnsi="Century Gothic"/>
          <w:sz w:val="24"/>
          <w:szCs w:val="24"/>
        </w:rPr>
        <w:t>o incremento da pro</w:t>
      </w:r>
      <w:r w:rsidR="00286ED3" w:rsidRPr="00C906B2">
        <w:rPr>
          <w:rFonts w:ascii="Century Gothic" w:hAnsi="Century Gothic"/>
          <w:sz w:val="24"/>
          <w:szCs w:val="24"/>
        </w:rPr>
        <w:t xml:space="preserve">dutividade </w:t>
      </w:r>
      <w:r w:rsidR="00564667" w:rsidRPr="00C906B2">
        <w:rPr>
          <w:rFonts w:ascii="Century Gothic" w:hAnsi="Century Gothic"/>
          <w:sz w:val="24"/>
          <w:szCs w:val="24"/>
        </w:rPr>
        <w:t xml:space="preserve">da </w:t>
      </w:r>
      <w:r w:rsidR="00286ED3" w:rsidRPr="00C906B2">
        <w:rPr>
          <w:rFonts w:ascii="Century Gothic" w:hAnsi="Century Gothic"/>
          <w:sz w:val="24"/>
          <w:szCs w:val="24"/>
        </w:rPr>
        <w:t>cultura</w:t>
      </w:r>
      <w:r w:rsidR="00122F16">
        <w:rPr>
          <w:rFonts w:ascii="Century Gothic" w:hAnsi="Century Gothic"/>
          <w:sz w:val="24"/>
          <w:szCs w:val="24"/>
        </w:rPr>
        <w:t xml:space="preserve"> (Cavalcante et al., 2008a)</w:t>
      </w:r>
      <w:r w:rsidR="00AF22AC" w:rsidRPr="00C906B2">
        <w:rPr>
          <w:rFonts w:ascii="Century Gothic" w:hAnsi="Century Gothic"/>
          <w:sz w:val="24"/>
          <w:szCs w:val="24"/>
        </w:rPr>
        <w:t>. O</w:t>
      </w:r>
      <w:r w:rsidR="00AE56D3" w:rsidRPr="00C906B2">
        <w:rPr>
          <w:rFonts w:ascii="Century Gothic" w:hAnsi="Century Gothic"/>
          <w:sz w:val="24"/>
          <w:szCs w:val="24"/>
        </w:rPr>
        <w:t xml:space="preserve">s solos tropicais são em sua maioria intensamente intemperizados, </w:t>
      </w:r>
      <w:r w:rsidR="000D5A2F">
        <w:rPr>
          <w:rFonts w:ascii="Century Gothic" w:hAnsi="Century Gothic"/>
          <w:sz w:val="24"/>
          <w:szCs w:val="24"/>
        </w:rPr>
        <w:t>demandando</w:t>
      </w:r>
      <w:r w:rsidR="00AE56D3" w:rsidRPr="00C906B2">
        <w:rPr>
          <w:rFonts w:ascii="Century Gothic" w:hAnsi="Century Gothic"/>
          <w:sz w:val="24"/>
          <w:szCs w:val="24"/>
        </w:rPr>
        <w:t xml:space="preserve"> fornecimento de matéria orgâ</w:t>
      </w:r>
      <w:r w:rsidR="00D97CE9" w:rsidRPr="00C906B2">
        <w:rPr>
          <w:rFonts w:ascii="Century Gothic" w:hAnsi="Century Gothic"/>
          <w:sz w:val="24"/>
          <w:szCs w:val="24"/>
        </w:rPr>
        <w:t xml:space="preserve">nica </w:t>
      </w:r>
      <w:r w:rsidR="000D5A2F">
        <w:rPr>
          <w:rFonts w:ascii="Century Gothic" w:hAnsi="Century Gothic"/>
          <w:sz w:val="24"/>
          <w:szCs w:val="24"/>
        </w:rPr>
        <w:t xml:space="preserve">para </w:t>
      </w:r>
      <w:r w:rsidR="00D97CE9" w:rsidRPr="00C906B2">
        <w:rPr>
          <w:rFonts w:ascii="Century Gothic" w:hAnsi="Century Gothic"/>
          <w:sz w:val="24"/>
          <w:szCs w:val="24"/>
        </w:rPr>
        <w:t>melhor</w:t>
      </w:r>
      <w:r w:rsidR="000D5A2F">
        <w:rPr>
          <w:rFonts w:ascii="Century Gothic" w:hAnsi="Century Gothic"/>
          <w:sz w:val="24"/>
          <w:szCs w:val="24"/>
        </w:rPr>
        <w:t>i</w:t>
      </w:r>
      <w:r w:rsidR="00D97CE9" w:rsidRPr="00C906B2">
        <w:rPr>
          <w:rFonts w:ascii="Century Gothic" w:hAnsi="Century Gothic"/>
          <w:sz w:val="24"/>
          <w:szCs w:val="24"/>
        </w:rPr>
        <w:t xml:space="preserve">a </w:t>
      </w:r>
      <w:r w:rsidR="000D5A2F">
        <w:rPr>
          <w:rFonts w:ascii="Century Gothic" w:hAnsi="Century Gothic"/>
          <w:sz w:val="24"/>
          <w:szCs w:val="24"/>
        </w:rPr>
        <w:t>d</w:t>
      </w:r>
      <w:r w:rsidR="00AE56D3" w:rsidRPr="00C906B2">
        <w:rPr>
          <w:rFonts w:ascii="Century Gothic" w:hAnsi="Century Gothic"/>
          <w:sz w:val="24"/>
          <w:szCs w:val="24"/>
        </w:rPr>
        <w:t xml:space="preserve">a capacidade produtiva em decorrência dos efeitos </w:t>
      </w:r>
      <w:r w:rsidR="000D5A2F">
        <w:rPr>
          <w:rFonts w:ascii="Century Gothic" w:hAnsi="Century Gothic"/>
          <w:sz w:val="24"/>
          <w:szCs w:val="24"/>
        </w:rPr>
        <w:t xml:space="preserve">positivos </w:t>
      </w:r>
      <w:r w:rsidR="00AE56D3" w:rsidRPr="00C906B2">
        <w:rPr>
          <w:rFonts w:ascii="Century Gothic" w:hAnsi="Century Gothic"/>
          <w:sz w:val="24"/>
          <w:szCs w:val="24"/>
        </w:rPr>
        <w:t xml:space="preserve">na disponibilidade de nutrientes, estrutura, infiltração e retenção de água, atividade e biomassa microbiana do solo </w:t>
      </w:r>
      <w:r w:rsidR="00AE56D3" w:rsidRPr="006242FA">
        <w:rPr>
          <w:rFonts w:ascii="Century Gothic" w:hAnsi="Century Gothic"/>
          <w:sz w:val="24"/>
          <w:szCs w:val="24"/>
        </w:rPr>
        <w:t>(C</w:t>
      </w:r>
      <w:r w:rsidR="00D32AFC" w:rsidRPr="006242FA">
        <w:rPr>
          <w:rFonts w:ascii="Century Gothic" w:hAnsi="Century Gothic"/>
          <w:sz w:val="24"/>
          <w:szCs w:val="24"/>
        </w:rPr>
        <w:t>unha</w:t>
      </w:r>
      <w:r w:rsidR="00AE56D3" w:rsidRPr="006242FA">
        <w:rPr>
          <w:rFonts w:ascii="Century Gothic" w:hAnsi="Century Gothic"/>
          <w:sz w:val="24"/>
          <w:szCs w:val="24"/>
        </w:rPr>
        <w:t xml:space="preserve"> et al., 2012</w:t>
      </w:r>
      <w:r w:rsidR="00564667" w:rsidRPr="006242FA">
        <w:rPr>
          <w:rFonts w:ascii="Century Gothic" w:hAnsi="Century Gothic"/>
          <w:sz w:val="24"/>
          <w:szCs w:val="24"/>
        </w:rPr>
        <w:t>, A</w:t>
      </w:r>
      <w:r w:rsidR="00D32AFC" w:rsidRPr="006242FA">
        <w:rPr>
          <w:rFonts w:ascii="Century Gothic" w:hAnsi="Century Gothic"/>
          <w:sz w:val="24"/>
          <w:szCs w:val="24"/>
        </w:rPr>
        <w:t>lencar</w:t>
      </w:r>
      <w:r w:rsidR="00564667" w:rsidRPr="006242FA">
        <w:rPr>
          <w:rFonts w:ascii="Century Gothic" w:hAnsi="Century Gothic"/>
          <w:sz w:val="24"/>
          <w:szCs w:val="24"/>
        </w:rPr>
        <w:t xml:space="preserve"> et al., 2016</w:t>
      </w:r>
      <w:r w:rsidR="00AE56D3" w:rsidRPr="006242FA">
        <w:rPr>
          <w:rFonts w:ascii="Century Gothic" w:hAnsi="Century Gothic"/>
          <w:sz w:val="24"/>
          <w:szCs w:val="24"/>
        </w:rPr>
        <w:t>).</w:t>
      </w:r>
    </w:p>
    <w:p w:rsidR="00AE56D3" w:rsidRPr="00C906B2" w:rsidRDefault="00AE56D3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667C03" w:rsidRPr="00C906B2">
        <w:rPr>
          <w:rFonts w:ascii="Century Gothic" w:hAnsi="Century Gothic"/>
          <w:sz w:val="24"/>
          <w:szCs w:val="24"/>
        </w:rPr>
        <w:t>Em substituição ou</w:t>
      </w:r>
      <w:r w:rsidR="00D97CE9" w:rsidRPr="00C906B2">
        <w:rPr>
          <w:rFonts w:ascii="Century Gothic" w:hAnsi="Century Gothic"/>
          <w:sz w:val="24"/>
          <w:szCs w:val="24"/>
        </w:rPr>
        <w:t xml:space="preserve"> associados</w:t>
      </w:r>
      <w:r w:rsidRPr="00C906B2">
        <w:rPr>
          <w:rFonts w:ascii="Century Gothic" w:hAnsi="Century Gothic"/>
          <w:sz w:val="24"/>
          <w:szCs w:val="24"/>
        </w:rPr>
        <w:t xml:space="preserve"> às tradicionais adubações sintéticas, os biofertilizantes são alternativa viável e de rápida disponibilização de nutrientes</w:t>
      </w:r>
      <w:r w:rsidR="006242FA">
        <w:rPr>
          <w:rFonts w:ascii="Century Gothic" w:hAnsi="Century Gothic"/>
          <w:sz w:val="24"/>
          <w:szCs w:val="24"/>
        </w:rPr>
        <w:t>, sendo utilizado</w:t>
      </w:r>
      <w:r w:rsidR="000D5A2F">
        <w:rPr>
          <w:rFonts w:ascii="Century Gothic" w:hAnsi="Century Gothic"/>
          <w:sz w:val="24"/>
          <w:szCs w:val="24"/>
        </w:rPr>
        <w:t>s</w:t>
      </w:r>
      <w:r w:rsidR="006242FA">
        <w:rPr>
          <w:rFonts w:ascii="Century Gothic" w:hAnsi="Century Gothic"/>
          <w:sz w:val="24"/>
          <w:szCs w:val="24"/>
        </w:rPr>
        <w:t xml:space="preserve"> na</w:t>
      </w:r>
      <w:r w:rsidR="00D32AFC" w:rsidRPr="00C906B2">
        <w:rPr>
          <w:rFonts w:ascii="Century Gothic" w:hAnsi="Century Gothic"/>
          <w:sz w:val="24"/>
          <w:szCs w:val="24"/>
        </w:rPr>
        <w:t xml:space="preserve"> produção de diversas </w:t>
      </w:r>
      <w:r w:rsidRPr="00C906B2">
        <w:rPr>
          <w:rFonts w:ascii="Century Gothic" w:hAnsi="Century Gothic"/>
          <w:sz w:val="24"/>
          <w:szCs w:val="24"/>
        </w:rPr>
        <w:t>plantas frutíferas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D32AFC" w:rsidRPr="006242FA">
        <w:rPr>
          <w:rFonts w:ascii="Century Gothic" w:eastAsia="Times New Roman" w:hAnsi="Century Gothic" w:cs="Arial"/>
          <w:sz w:val="24"/>
          <w:szCs w:val="24"/>
          <w:lang w:val="pt-PT" w:eastAsia="pt-BR"/>
        </w:rPr>
        <w:t xml:space="preserve">(Sharma et al., 2011, </w:t>
      </w:r>
      <w:r w:rsidR="00D32AFC" w:rsidRPr="006242FA">
        <w:rPr>
          <w:rFonts w:ascii="Century Gothic" w:hAnsi="Century Gothic"/>
          <w:sz w:val="24"/>
          <w:szCs w:val="24"/>
          <w:lang w:val="pt-PT"/>
        </w:rPr>
        <w:t>Dantas et al., 2015)</w:t>
      </w:r>
      <w:r w:rsidRPr="006242FA">
        <w:rPr>
          <w:rFonts w:ascii="Century Gothic" w:hAnsi="Century Gothic"/>
          <w:sz w:val="24"/>
          <w:szCs w:val="24"/>
        </w:rPr>
        <w:t xml:space="preserve">, </w:t>
      </w:r>
      <w:r w:rsidR="000D5A2F">
        <w:rPr>
          <w:rFonts w:ascii="Century Gothic" w:hAnsi="Century Gothic"/>
          <w:sz w:val="24"/>
          <w:szCs w:val="24"/>
        </w:rPr>
        <w:t>devido</w:t>
      </w:r>
      <w:r w:rsidRPr="00C906B2">
        <w:rPr>
          <w:rFonts w:ascii="Century Gothic" w:hAnsi="Century Gothic"/>
          <w:sz w:val="24"/>
          <w:szCs w:val="24"/>
        </w:rPr>
        <w:t xml:space="preserve"> ser rico em matéria orgânica, proveniente de processo fermentativo e encontrar-se em estado líquido, o que torna sua aplicação através do sis</w:t>
      </w:r>
      <w:r w:rsidR="00667C03" w:rsidRPr="00C906B2">
        <w:rPr>
          <w:rFonts w:ascii="Century Gothic" w:hAnsi="Century Gothic"/>
          <w:sz w:val="24"/>
          <w:szCs w:val="24"/>
        </w:rPr>
        <w:t>tema de fertirrigação simplificada</w:t>
      </w:r>
      <w:r w:rsidRPr="00C906B2">
        <w:rPr>
          <w:rFonts w:ascii="Century Gothic" w:hAnsi="Century Gothic"/>
          <w:sz w:val="24"/>
          <w:szCs w:val="24"/>
        </w:rPr>
        <w:t xml:space="preserve"> e menos onerosa (</w:t>
      </w:r>
      <w:r w:rsidRPr="00256CA4">
        <w:rPr>
          <w:rFonts w:ascii="Century Gothic" w:hAnsi="Century Gothic"/>
          <w:sz w:val="24"/>
          <w:szCs w:val="24"/>
        </w:rPr>
        <w:t>G</w:t>
      </w:r>
      <w:r w:rsidR="00095D01" w:rsidRPr="00256CA4">
        <w:rPr>
          <w:rFonts w:ascii="Century Gothic" w:hAnsi="Century Gothic"/>
          <w:sz w:val="24"/>
          <w:szCs w:val="24"/>
        </w:rPr>
        <w:t>ross</w:t>
      </w:r>
      <w:r w:rsidRPr="00256CA4">
        <w:rPr>
          <w:rFonts w:ascii="Century Gothic" w:hAnsi="Century Gothic"/>
          <w:sz w:val="24"/>
          <w:szCs w:val="24"/>
        </w:rPr>
        <w:t xml:space="preserve"> et al., 2008</w:t>
      </w:r>
      <w:r w:rsidR="003B1891" w:rsidRPr="00256CA4">
        <w:rPr>
          <w:rFonts w:ascii="Century Gothic" w:hAnsi="Century Gothic"/>
          <w:sz w:val="24"/>
          <w:szCs w:val="24"/>
        </w:rPr>
        <w:t xml:space="preserve">, </w:t>
      </w:r>
      <w:r w:rsidR="003B1891" w:rsidRPr="00256CA4">
        <w:rPr>
          <w:rFonts w:ascii="Century Gothic" w:hAnsi="Century Gothic"/>
          <w:sz w:val="24"/>
          <w:szCs w:val="24"/>
          <w:lang w:val="pt-PT"/>
        </w:rPr>
        <w:t>Ramniwas et al., 2013</w:t>
      </w:r>
      <w:r w:rsidRPr="00256CA4">
        <w:rPr>
          <w:rFonts w:ascii="Century Gothic" w:hAnsi="Century Gothic"/>
          <w:sz w:val="24"/>
          <w:szCs w:val="24"/>
        </w:rPr>
        <w:t>).</w:t>
      </w:r>
    </w:p>
    <w:p w:rsidR="00321FA9" w:rsidRPr="00C906B2" w:rsidRDefault="007D111B" w:rsidP="00B614EA">
      <w:pPr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  <w:t xml:space="preserve">Assim como os </w:t>
      </w:r>
      <w:r w:rsidR="00321FA9" w:rsidRPr="00C906B2">
        <w:rPr>
          <w:rFonts w:ascii="Century Gothic" w:hAnsi="Century Gothic"/>
          <w:sz w:val="24"/>
          <w:szCs w:val="24"/>
        </w:rPr>
        <w:t>macronutrientes</w:t>
      </w:r>
      <w:r w:rsidR="00427B5A" w:rsidRPr="00C906B2">
        <w:rPr>
          <w:rFonts w:ascii="Century Gothic" w:hAnsi="Century Gothic"/>
          <w:sz w:val="24"/>
          <w:szCs w:val="24"/>
        </w:rPr>
        <w:t xml:space="preserve">, os </w:t>
      </w:r>
      <w:r w:rsidR="00B7184E" w:rsidRPr="00C906B2">
        <w:rPr>
          <w:rFonts w:ascii="Century Gothic" w:hAnsi="Century Gothic"/>
          <w:sz w:val="24"/>
          <w:szCs w:val="24"/>
        </w:rPr>
        <w:t>micronutrientes são</w:t>
      </w:r>
      <w:r w:rsidR="00095D01" w:rsidRPr="00C906B2">
        <w:rPr>
          <w:rFonts w:ascii="Century Gothic" w:hAnsi="Century Gothic"/>
          <w:sz w:val="24"/>
          <w:szCs w:val="24"/>
        </w:rPr>
        <w:t xml:space="preserve"> fundamentais ao desenvolvimento </w:t>
      </w:r>
      <w:r w:rsidR="00B7184E" w:rsidRPr="00C906B2">
        <w:rPr>
          <w:rFonts w:ascii="Century Gothic" w:hAnsi="Century Gothic"/>
          <w:sz w:val="24"/>
          <w:szCs w:val="24"/>
        </w:rPr>
        <w:t>vegetal,</w:t>
      </w:r>
      <w:r w:rsidR="00B7184E">
        <w:rPr>
          <w:rFonts w:ascii="Century Gothic" w:hAnsi="Century Gothic"/>
          <w:sz w:val="24"/>
          <w:szCs w:val="24"/>
        </w:rPr>
        <w:t xml:space="preserve"> e</w:t>
      </w:r>
      <w:r w:rsidR="0035338F">
        <w:rPr>
          <w:rFonts w:ascii="Century Gothic" w:hAnsi="Century Gothic"/>
          <w:sz w:val="24"/>
          <w:szCs w:val="24"/>
        </w:rPr>
        <w:t xml:space="preserve"> </w:t>
      </w:r>
      <w:r w:rsidR="00321FA9" w:rsidRPr="00C906B2">
        <w:rPr>
          <w:rFonts w:ascii="Century Gothic" w:hAnsi="Century Gothic"/>
          <w:sz w:val="24"/>
          <w:szCs w:val="24"/>
        </w:rPr>
        <w:t xml:space="preserve">quando fornecidos em teores </w:t>
      </w:r>
      <w:r w:rsidR="00B7184E" w:rsidRPr="00C906B2">
        <w:rPr>
          <w:rFonts w:ascii="Century Gothic" w:hAnsi="Century Gothic"/>
          <w:sz w:val="24"/>
          <w:szCs w:val="24"/>
        </w:rPr>
        <w:t>inadequados</w:t>
      </w:r>
      <w:r w:rsidR="00B7184E" w:rsidRPr="00C906B2">
        <w:rPr>
          <w:rFonts w:ascii="Century Gothic" w:hAnsi="Century Gothic" w:cs="Arial"/>
          <w:sz w:val="24"/>
          <w:szCs w:val="24"/>
        </w:rPr>
        <w:t xml:space="preserve"> retardam</w:t>
      </w:r>
      <w:r w:rsidR="00D97CE9" w:rsidRPr="00C906B2">
        <w:rPr>
          <w:rFonts w:ascii="Century Gothic" w:hAnsi="Century Gothic" w:cs="Arial"/>
          <w:sz w:val="24"/>
          <w:szCs w:val="24"/>
        </w:rPr>
        <w:t xml:space="preserve"> o </w:t>
      </w:r>
      <w:r w:rsidR="00321FA9" w:rsidRPr="00C906B2">
        <w:rPr>
          <w:rFonts w:ascii="Century Gothic" w:hAnsi="Century Gothic" w:cs="Arial"/>
          <w:sz w:val="24"/>
          <w:szCs w:val="24"/>
        </w:rPr>
        <w:t>crescimento</w:t>
      </w:r>
      <w:r w:rsidR="00E07F45" w:rsidRPr="00C906B2">
        <w:rPr>
          <w:rFonts w:ascii="Century Gothic" w:hAnsi="Century Gothic" w:cs="Arial"/>
          <w:sz w:val="24"/>
          <w:szCs w:val="24"/>
        </w:rPr>
        <w:t xml:space="preserve"> das plantas</w:t>
      </w:r>
      <w:r w:rsidR="00321FA9" w:rsidRPr="00C906B2">
        <w:rPr>
          <w:rFonts w:ascii="Century Gothic" w:hAnsi="Century Gothic" w:cs="Arial"/>
          <w:sz w:val="24"/>
          <w:szCs w:val="24"/>
        </w:rPr>
        <w:t xml:space="preserve">, </w:t>
      </w:r>
      <w:r w:rsidR="00B6082F" w:rsidRPr="00C906B2">
        <w:rPr>
          <w:rFonts w:ascii="Century Gothic" w:hAnsi="Century Gothic" w:cs="Arial"/>
          <w:sz w:val="24"/>
          <w:szCs w:val="24"/>
        </w:rPr>
        <w:t>podendo ocasionar desequilíbrios no metabolismo vegetal, tornando as plantas mais sensíveis a</w:t>
      </w:r>
      <w:r w:rsidR="00E07F45" w:rsidRPr="00C906B2">
        <w:rPr>
          <w:rFonts w:ascii="Century Gothic" w:hAnsi="Century Gothic" w:cs="Arial"/>
          <w:sz w:val="24"/>
          <w:szCs w:val="24"/>
        </w:rPr>
        <w:t xml:space="preserve">o ataque </w:t>
      </w:r>
      <w:r w:rsidR="00B7184E" w:rsidRPr="00C906B2">
        <w:rPr>
          <w:rFonts w:ascii="Century Gothic" w:hAnsi="Century Gothic" w:cs="Arial"/>
          <w:sz w:val="24"/>
          <w:szCs w:val="24"/>
        </w:rPr>
        <w:t>de pragas</w:t>
      </w:r>
      <w:r w:rsidR="00E07F45" w:rsidRPr="00C906B2">
        <w:rPr>
          <w:rFonts w:ascii="Century Gothic" w:hAnsi="Century Gothic" w:cs="Arial"/>
          <w:sz w:val="24"/>
          <w:szCs w:val="24"/>
        </w:rPr>
        <w:t xml:space="preserve"> e doenças </w:t>
      </w:r>
      <w:r w:rsidR="00B7184E" w:rsidRPr="00C906B2">
        <w:rPr>
          <w:rFonts w:ascii="Century Gothic" w:hAnsi="Century Gothic" w:cs="Arial"/>
          <w:sz w:val="24"/>
          <w:szCs w:val="24"/>
        </w:rPr>
        <w:t>reduzindo</w:t>
      </w:r>
      <w:r w:rsidR="00321FA9" w:rsidRPr="00C906B2">
        <w:rPr>
          <w:rFonts w:ascii="Century Gothic" w:hAnsi="Century Gothic" w:cs="Arial"/>
          <w:sz w:val="24"/>
          <w:szCs w:val="24"/>
        </w:rPr>
        <w:t xml:space="preserve"> a eficiência de uso dos fertilizantes contendo </w:t>
      </w:r>
      <w:r w:rsidR="00B7184E" w:rsidRPr="00C906B2">
        <w:rPr>
          <w:rFonts w:ascii="Century Gothic" w:hAnsi="Century Gothic" w:cs="Arial"/>
          <w:sz w:val="24"/>
          <w:szCs w:val="24"/>
        </w:rPr>
        <w:t>macronutrientes</w:t>
      </w:r>
      <w:r w:rsidR="00B7184E" w:rsidRPr="00CE109F">
        <w:rPr>
          <w:rFonts w:ascii="Century Gothic" w:hAnsi="Century Gothic" w:cs="Arial"/>
          <w:sz w:val="24"/>
          <w:szCs w:val="24"/>
        </w:rPr>
        <w:t xml:space="preserve"> (</w:t>
      </w:r>
      <w:r w:rsidR="00E07F45" w:rsidRPr="00CE109F">
        <w:rPr>
          <w:rFonts w:ascii="Century Gothic" w:hAnsi="Century Gothic" w:cs="Arial"/>
          <w:sz w:val="24"/>
          <w:szCs w:val="24"/>
        </w:rPr>
        <w:t>L</w:t>
      </w:r>
      <w:r w:rsidR="00C906B2" w:rsidRPr="00CE109F">
        <w:rPr>
          <w:rFonts w:ascii="Century Gothic" w:hAnsi="Century Gothic" w:cs="Arial"/>
          <w:sz w:val="24"/>
          <w:szCs w:val="24"/>
        </w:rPr>
        <w:t>ima N</w:t>
      </w:r>
      <w:r w:rsidR="00095D01" w:rsidRPr="00CE109F">
        <w:rPr>
          <w:rFonts w:ascii="Century Gothic" w:hAnsi="Century Gothic" w:cs="Arial"/>
          <w:sz w:val="24"/>
          <w:szCs w:val="24"/>
        </w:rPr>
        <w:t>eto</w:t>
      </w:r>
      <w:r w:rsidR="007D2224" w:rsidRPr="00CE109F">
        <w:rPr>
          <w:rFonts w:ascii="Century Gothic" w:hAnsi="Century Gothic" w:cs="Arial"/>
          <w:sz w:val="24"/>
          <w:szCs w:val="24"/>
        </w:rPr>
        <w:t xml:space="preserve"> et al.</w:t>
      </w:r>
      <w:r w:rsidR="00E07F45" w:rsidRPr="00CE109F">
        <w:rPr>
          <w:rFonts w:ascii="Century Gothic" w:hAnsi="Century Gothic" w:cs="Arial"/>
          <w:sz w:val="24"/>
          <w:szCs w:val="24"/>
        </w:rPr>
        <w:t>, 2015</w:t>
      </w:r>
      <w:r w:rsidR="00321FA9" w:rsidRPr="00CE109F">
        <w:rPr>
          <w:rFonts w:ascii="Century Gothic" w:hAnsi="Century Gothic" w:cs="Arial"/>
          <w:sz w:val="24"/>
          <w:szCs w:val="24"/>
        </w:rPr>
        <w:t>).</w:t>
      </w:r>
    </w:p>
    <w:p w:rsidR="00CD0A82" w:rsidRPr="00C906B2" w:rsidRDefault="00CD0A82" w:rsidP="00B614EA">
      <w:pPr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C906B2">
        <w:rPr>
          <w:rFonts w:ascii="Century Gothic" w:hAnsi="Century Gothic" w:cs="Arial"/>
          <w:sz w:val="24"/>
          <w:szCs w:val="24"/>
        </w:rPr>
        <w:tab/>
      </w:r>
      <w:r w:rsidR="00143A78" w:rsidRPr="00C906B2">
        <w:rPr>
          <w:rFonts w:ascii="Century Gothic" w:hAnsi="Century Gothic" w:cs="Arial"/>
          <w:sz w:val="24"/>
          <w:szCs w:val="24"/>
        </w:rPr>
        <w:t>Apesar da grande importância da cultura da goiabeira, s</w:t>
      </w:r>
      <w:r w:rsidRPr="00C906B2">
        <w:rPr>
          <w:rFonts w:ascii="Century Gothic" w:hAnsi="Century Gothic" w:cs="Arial"/>
          <w:sz w:val="24"/>
          <w:szCs w:val="24"/>
        </w:rPr>
        <w:t>ão pouc</w:t>
      </w:r>
      <w:r w:rsidR="00564667" w:rsidRPr="00C906B2">
        <w:rPr>
          <w:rFonts w:ascii="Century Gothic" w:hAnsi="Century Gothic" w:cs="Arial"/>
          <w:sz w:val="24"/>
          <w:szCs w:val="24"/>
        </w:rPr>
        <w:t>as as informações sobre</w:t>
      </w:r>
      <w:r w:rsidR="00FB12C2" w:rsidRPr="00C906B2">
        <w:rPr>
          <w:rFonts w:ascii="Century Gothic" w:hAnsi="Century Gothic" w:cs="Arial"/>
          <w:sz w:val="24"/>
          <w:szCs w:val="24"/>
        </w:rPr>
        <w:t xml:space="preserve"> o </w:t>
      </w:r>
      <w:r w:rsidR="00CE109F">
        <w:rPr>
          <w:rFonts w:ascii="Century Gothic" w:hAnsi="Century Gothic" w:cs="Arial"/>
          <w:sz w:val="24"/>
          <w:szCs w:val="24"/>
        </w:rPr>
        <w:t xml:space="preserve">seu </w:t>
      </w:r>
      <w:r w:rsidR="00143A78" w:rsidRPr="00C906B2">
        <w:rPr>
          <w:rFonts w:ascii="Century Gothic" w:hAnsi="Century Gothic" w:cs="Arial"/>
          <w:sz w:val="24"/>
          <w:szCs w:val="24"/>
        </w:rPr>
        <w:t xml:space="preserve">estado nutricional </w:t>
      </w:r>
      <w:r w:rsidR="0035338F">
        <w:rPr>
          <w:rFonts w:ascii="Century Gothic" w:hAnsi="Century Gothic" w:cs="Arial"/>
          <w:sz w:val="24"/>
          <w:szCs w:val="24"/>
        </w:rPr>
        <w:t xml:space="preserve">em micronutrientes </w:t>
      </w:r>
      <w:r w:rsidR="00B7184E" w:rsidRPr="00C906B2">
        <w:rPr>
          <w:rFonts w:ascii="Century Gothic" w:hAnsi="Century Gothic" w:cs="Arial"/>
          <w:sz w:val="24"/>
          <w:szCs w:val="24"/>
        </w:rPr>
        <w:t>associado ao</w:t>
      </w:r>
      <w:r w:rsidR="00564667" w:rsidRPr="00C906B2">
        <w:rPr>
          <w:rFonts w:ascii="Century Gothic" w:hAnsi="Century Gothic" w:cs="Arial"/>
          <w:sz w:val="24"/>
          <w:szCs w:val="24"/>
        </w:rPr>
        <w:t xml:space="preserve"> manejo da fertilidade do solo para </w:t>
      </w:r>
      <w:r w:rsidR="00143A78" w:rsidRPr="00C906B2">
        <w:rPr>
          <w:rFonts w:ascii="Century Gothic" w:hAnsi="Century Gothic" w:cs="Arial"/>
          <w:sz w:val="24"/>
          <w:szCs w:val="24"/>
        </w:rPr>
        <w:t xml:space="preserve">o aumento da produção </w:t>
      </w:r>
      <w:r w:rsidR="00FB12C2" w:rsidRPr="00C906B2">
        <w:rPr>
          <w:rFonts w:ascii="Century Gothic" w:hAnsi="Century Gothic" w:cs="Arial"/>
          <w:sz w:val="24"/>
          <w:szCs w:val="24"/>
        </w:rPr>
        <w:t xml:space="preserve">de frutos </w:t>
      </w:r>
      <w:r w:rsidR="00FB12C2" w:rsidRPr="00CE109F">
        <w:rPr>
          <w:rFonts w:ascii="Century Gothic" w:hAnsi="Century Gothic" w:cs="Arial"/>
          <w:sz w:val="24"/>
          <w:szCs w:val="24"/>
        </w:rPr>
        <w:t xml:space="preserve">com </w:t>
      </w:r>
      <w:r w:rsidR="00B7184E" w:rsidRPr="00CE109F">
        <w:rPr>
          <w:rFonts w:ascii="Century Gothic" w:hAnsi="Century Gothic" w:cs="Arial"/>
          <w:sz w:val="24"/>
          <w:szCs w:val="24"/>
        </w:rPr>
        <w:t>qualidade (</w:t>
      </w:r>
      <w:r w:rsidR="00564667" w:rsidRPr="00CE109F">
        <w:rPr>
          <w:rFonts w:ascii="Century Gothic" w:hAnsi="Century Gothic" w:cs="Arial"/>
          <w:sz w:val="24"/>
          <w:szCs w:val="24"/>
        </w:rPr>
        <w:t>R</w:t>
      </w:r>
      <w:r w:rsidR="00C906B2" w:rsidRPr="00CE109F">
        <w:rPr>
          <w:rFonts w:ascii="Century Gothic" w:hAnsi="Century Gothic" w:cs="Arial"/>
          <w:sz w:val="24"/>
          <w:szCs w:val="24"/>
        </w:rPr>
        <w:t>ocha</w:t>
      </w:r>
      <w:r w:rsidR="00564667" w:rsidRPr="00CE109F">
        <w:rPr>
          <w:rFonts w:ascii="Century Gothic" w:hAnsi="Century Gothic" w:cs="Arial"/>
          <w:sz w:val="24"/>
          <w:szCs w:val="24"/>
        </w:rPr>
        <w:t xml:space="preserve"> et al.</w:t>
      </w:r>
      <w:r w:rsidR="00CE109F">
        <w:rPr>
          <w:rFonts w:ascii="Century Gothic" w:hAnsi="Century Gothic" w:cs="Arial"/>
          <w:sz w:val="24"/>
          <w:szCs w:val="24"/>
        </w:rPr>
        <w:t>,</w:t>
      </w:r>
      <w:r w:rsidR="00564667" w:rsidRPr="00CE109F">
        <w:rPr>
          <w:rFonts w:ascii="Century Gothic" w:hAnsi="Century Gothic" w:cs="Arial"/>
          <w:sz w:val="24"/>
          <w:szCs w:val="24"/>
        </w:rPr>
        <w:t xml:space="preserve"> 2016)</w:t>
      </w:r>
      <w:r w:rsidR="0035338F">
        <w:rPr>
          <w:rFonts w:ascii="Century Gothic" w:hAnsi="Century Gothic" w:cs="Arial"/>
          <w:sz w:val="24"/>
          <w:szCs w:val="24"/>
        </w:rPr>
        <w:t>.</w:t>
      </w:r>
    </w:p>
    <w:p w:rsidR="00AE56D3" w:rsidRPr="00C906B2" w:rsidRDefault="00AE56D3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pt-PT"/>
        </w:rPr>
      </w:pPr>
      <w:r w:rsidRPr="00C906B2">
        <w:rPr>
          <w:rFonts w:ascii="Century Gothic" w:hAnsi="Century Gothic"/>
          <w:sz w:val="24"/>
          <w:szCs w:val="24"/>
        </w:rPr>
        <w:lastRenderedPageBreak/>
        <w:tab/>
        <w:t>Neste sentido, o presente estudo teve como objetivo avaliar os teores fol</w:t>
      </w:r>
      <w:r w:rsidR="00BD5919" w:rsidRPr="00C906B2">
        <w:rPr>
          <w:rFonts w:ascii="Century Gothic" w:hAnsi="Century Gothic"/>
          <w:sz w:val="24"/>
          <w:szCs w:val="24"/>
        </w:rPr>
        <w:t xml:space="preserve">iares de </w:t>
      </w:r>
      <w:r w:rsidR="00BD5919" w:rsidRPr="00171F77">
        <w:rPr>
          <w:rFonts w:ascii="Century Gothic" w:hAnsi="Century Gothic"/>
          <w:sz w:val="24"/>
          <w:szCs w:val="24"/>
        </w:rPr>
        <w:t xml:space="preserve">micronutrientes </w:t>
      </w:r>
      <w:r w:rsidRPr="00171F77">
        <w:rPr>
          <w:rFonts w:ascii="Century Gothic" w:hAnsi="Century Gothic"/>
          <w:sz w:val="24"/>
          <w:szCs w:val="24"/>
        </w:rPr>
        <w:t>da goiabeira em função da fertirrigação com biofertilizante e nitrogênio no semiárido brasileiro.</w:t>
      </w:r>
    </w:p>
    <w:p w:rsidR="00BC07D8" w:rsidRDefault="00D97CE9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BC07D8" w:rsidRPr="00C906B2">
        <w:rPr>
          <w:rFonts w:ascii="Century Gothic" w:hAnsi="Century Gothic"/>
          <w:sz w:val="24"/>
          <w:szCs w:val="24"/>
        </w:rPr>
        <w:t xml:space="preserve">O experimento foi conduzido entre julho de 2014 e agosto de 2015 (dois </w:t>
      </w:r>
      <w:r w:rsidR="0035338F">
        <w:rPr>
          <w:rFonts w:ascii="Century Gothic" w:hAnsi="Century Gothic"/>
          <w:sz w:val="24"/>
          <w:szCs w:val="24"/>
        </w:rPr>
        <w:t>ciclos</w:t>
      </w:r>
      <w:r w:rsidR="00BC07D8" w:rsidRPr="00C906B2">
        <w:rPr>
          <w:rFonts w:ascii="Century Gothic" w:hAnsi="Century Gothic"/>
          <w:sz w:val="24"/>
          <w:szCs w:val="24"/>
        </w:rPr>
        <w:t xml:space="preserve"> consecutivos) na área experimental da Universidade Federal do Vale do São Francisco, em Petrolina-PE. O clima d</w:t>
      </w:r>
      <w:r w:rsidR="00797180" w:rsidRPr="00C906B2">
        <w:rPr>
          <w:rFonts w:ascii="Century Gothic" w:hAnsi="Century Gothic"/>
          <w:sz w:val="24"/>
          <w:szCs w:val="24"/>
        </w:rPr>
        <w:t>a</w:t>
      </w:r>
      <w:r w:rsidR="00BC07D8" w:rsidRPr="00C906B2">
        <w:rPr>
          <w:rFonts w:ascii="Century Gothic" w:hAnsi="Century Gothic"/>
          <w:sz w:val="24"/>
          <w:szCs w:val="24"/>
        </w:rPr>
        <w:t xml:space="preserve"> região </w:t>
      </w:r>
      <w:r w:rsidR="00797180" w:rsidRPr="00C906B2">
        <w:rPr>
          <w:rFonts w:ascii="Century Gothic" w:hAnsi="Century Gothic"/>
          <w:sz w:val="24"/>
          <w:szCs w:val="24"/>
        </w:rPr>
        <w:t xml:space="preserve">é </w:t>
      </w:r>
      <w:r w:rsidR="00BC07D8" w:rsidRPr="00C906B2">
        <w:rPr>
          <w:rFonts w:ascii="Century Gothic" w:hAnsi="Century Gothic"/>
          <w:sz w:val="24"/>
          <w:szCs w:val="24"/>
        </w:rPr>
        <w:t>semiárido, classificado como Bswh (Köeppen), o solo é um Argissolo Amarelo (Ultisol – Classificação Amer</w:t>
      </w:r>
      <w:r w:rsidR="00282E5E" w:rsidRPr="00C906B2">
        <w:rPr>
          <w:rFonts w:ascii="Century Gothic" w:hAnsi="Century Gothic"/>
          <w:sz w:val="24"/>
          <w:szCs w:val="24"/>
        </w:rPr>
        <w:t xml:space="preserve">icana de taxonomia do solo), os resultados da </w:t>
      </w:r>
      <w:r w:rsidR="00BC07D8" w:rsidRPr="00C906B2">
        <w:rPr>
          <w:rFonts w:ascii="Century Gothic" w:hAnsi="Century Gothic"/>
          <w:sz w:val="24"/>
          <w:szCs w:val="24"/>
        </w:rPr>
        <w:t>análise dos atribu</w:t>
      </w:r>
      <w:r w:rsidR="00282E5E" w:rsidRPr="00C906B2">
        <w:rPr>
          <w:rFonts w:ascii="Century Gothic" w:hAnsi="Century Gothic"/>
          <w:sz w:val="24"/>
          <w:szCs w:val="24"/>
        </w:rPr>
        <w:t>tos físicos e químicos constam</w:t>
      </w:r>
      <w:r w:rsidR="00B2730D" w:rsidRPr="00C906B2">
        <w:rPr>
          <w:rFonts w:ascii="Century Gothic" w:hAnsi="Century Gothic"/>
          <w:sz w:val="24"/>
          <w:szCs w:val="24"/>
        </w:rPr>
        <w:t xml:space="preserve"> na </w:t>
      </w:r>
      <w:r w:rsidR="00EA39BF" w:rsidRPr="00C906B2">
        <w:rPr>
          <w:rFonts w:ascii="Century Gothic" w:hAnsi="Century Gothic"/>
          <w:sz w:val="24"/>
          <w:szCs w:val="24"/>
        </w:rPr>
        <w:t xml:space="preserve">Tabela </w:t>
      </w:r>
      <w:r w:rsidR="00E16B01" w:rsidRPr="00C906B2">
        <w:rPr>
          <w:rFonts w:ascii="Century Gothic" w:hAnsi="Century Gothic"/>
          <w:sz w:val="24"/>
          <w:szCs w:val="24"/>
        </w:rPr>
        <w:t>1</w:t>
      </w:r>
      <w:r w:rsidR="00BC07D8" w:rsidRPr="00C906B2">
        <w:rPr>
          <w:rFonts w:ascii="Century Gothic" w:hAnsi="Century Gothic"/>
          <w:sz w:val="24"/>
          <w:szCs w:val="24"/>
        </w:rPr>
        <w:t>.</w:t>
      </w:r>
    </w:p>
    <w:p w:rsidR="00F148B0" w:rsidRPr="00C906B2" w:rsidRDefault="00F148B0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</w:p>
    <w:p w:rsidR="00E16B01" w:rsidRPr="00C906B2" w:rsidRDefault="00E16B01" w:rsidP="00B614EA">
      <w:pPr>
        <w:pStyle w:val="Legenda"/>
        <w:spacing w:after="0" w:line="480" w:lineRule="auto"/>
        <w:jc w:val="both"/>
        <w:rPr>
          <w:rFonts w:ascii="Century Gothic" w:hAnsi="Century Gothic" w:cs="Arial"/>
          <w:b w:val="0"/>
          <w:color w:val="auto"/>
          <w:sz w:val="24"/>
          <w:szCs w:val="24"/>
        </w:rPr>
      </w:pPr>
      <w:bookmarkStart w:id="1" w:name="_Toc456599651"/>
      <w:r w:rsidRPr="00C906B2">
        <w:rPr>
          <w:rFonts w:ascii="Century Gothic" w:hAnsi="Century Gothic" w:cs="Arial"/>
          <w:color w:val="auto"/>
          <w:sz w:val="24"/>
          <w:szCs w:val="24"/>
        </w:rPr>
        <w:t>Tabela</w:t>
      </w:r>
      <w:r w:rsidR="00663D82" w:rsidRPr="00C906B2">
        <w:rPr>
          <w:rFonts w:ascii="Century Gothic" w:hAnsi="Century Gothic" w:cs="Arial"/>
          <w:color w:val="auto"/>
          <w:sz w:val="24"/>
          <w:szCs w:val="24"/>
        </w:rPr>
        <w:fldChar w:fldCharType="begin"/>
      </w:r>
      <w:r w:rsidRPr="00C906B2">
        <w:rPr>
          <w:rFonts w:ascii="Century Gothic" w:hAnsi="Century Gothic" w:cs="Arial"/>
          <w:color w:val="auto"/>
          <w:sz w:val="24"/>
          <w:szCs w:val="24"/>
        </w:rPr>
        <w:instrText xml:space="preserve"> SEQ Tabela \* ARABIC </w:instrText>
      </w:r>
      <w:r w:rsidR="00663D82" w:rsidRPr="00C906B2">
        <w:rPr>
          <w:rFonts w:ascii="Century Gothic" w:hAnsi="Century Gothic" w:cs="Arial"/>
          <w:color w:val="auto"/>
          <w:sz w:val="24"/>
          <w:szCs w:val="24"/>
        </w:rPr>
        <w:fldChar w:fldCharType="separate"/>
      </w:r>
      <w:r w:rsidRPr="00C906B2">
        <w:rPr>
          <w:rFonts w:ascii="Century Gothic" w:hAnsi="Century Gothic" w:cs="Arial"/>
          <w:noProof/>
          <w:color w:val="auto"/>
          <w:sz w:val="24"/>
          <w:szCs w:val="24"/>
        </w:rPr>
        <w:t>1</w:t>
      </w:r>
      <w:r w:rsidR="00663D82" w:rsidRPr="00C906B2">
        <w:rPr>
          <w:rFonts w:ascii="Century Gothic" w:hAnsi="Century Gothic" w:cs="Arial"/>
          <w:color w:val="auto"/>
          <w:sz w:val="24"/>
          <w:szCs w:val="24"/>
        </w:rPr>
        <w:fldChar w:fldCharType="end"/>
      </w:r>
      <w:r w:rsidRPr="00C906B2">
        <w:rPr>
          <w:rFonts w:ascii="Century Gothic" w:hAnsi="Century Gothic" w:cs="Arial"/>
          <w:color w:val="auto"/>
          <w:sz w:val="24"/>
          <w:szCs w:val="24"/>
        </w:rPr>
        <w:t>.</w:t>
      </w:r>
      <w:r w:rsidRPr="00C906B2">
        <w:rPr>
          <w:rFonts w:ascii="Century Gothic" w:hAnsi="Century Gothic" w:cs="Arial"/>
          <w:b w:val="0"/>
          <w:color w:val="auto"/>
          <w:sz w:val="24"/>
          <w:szCs w:val="24"/>
        </w:rPr>
        <w:t xml:space="preserve"> Características químicas e físicas do solo (0-20 e 20-40 cm de profundidade), da área experimental antes da instalação do experimento.</w:t>
      </w:r>
      <w:bookmarkEnd w:id="1"/>
    </w:p>
    <w:tbl>
      <w:tblPr>
        <w:tblW w:w="4918" w:type="pct"/>
        <w:jc w:val="center"/>
        <w:tblInd w:w="162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18"/>
        <w:gridCol w:w="3435"/>
        <w:gridCol w:w="3439"/>
      </w:tblGrid>
      <w:tr w:rsidR="00E16B01" w:rsidRPr="00C906B2" w:rsidTr="00EA39BF">
        <w:trPr>
          <w:trHeight w:val="272"/>
          <w:jc w:val="center"/>
        </w:trPr>
        <w:tc>
          <w:tcPr>
            <w:tcW w:w="1454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Característica do solo</w:t>
            </w:r>
          </w:p>
        </w:tc>
        <w:tc>
          <w:tcPr>
            <w:tcW w:w="35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Valor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0-20 cm</w:t>
            </w:r>
          </w:p>
        </w:tc>
        <w:tc>
          <w:tcPr>
            <w:tcW w:w="17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20-40 cm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pH (</w:t>
            </w:r>
            <w:r w:rsidR="00B7184E"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em</w:t>
            </w:r>
            <w:r w:rsidR="00B7184E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  <w:r w:rsidR="00B7184E"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água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pct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6,2</w:t>
            </w:r>
          </w:p>
        </w:tc>
        <w:tc>
          <w:tcPr>
            <w:tcW w:w="1775" w:type="pct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5,4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Ca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>2+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(cmol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bscript"/>
                <w:lang w:val="en-US"/>
              </w:rPr>
              <w:t>c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dm³)</w:t>
            </w:r>
          </w:p>
        </w:tc>
        <w:tc>
          <w:tcPr>
            <w:tcW w:w="1772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2,1</w:t>
            </w:r>
          </w:p>
        </w:tc>
        <w:tc>
          <w:tcPr>
            <w:tcW w:w="1775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2,0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Mg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 xml:space="preserve">2+ 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(cmol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bscript"/>
                <w:lang w:val="en-US"/>
              </w:rPr>
              <w:t>c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dm³)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1,4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1,2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Al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 xml:space="preserve">3+ 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(cmol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bscript"/>
                <w:lang w:val="en-US"/>
              </w:rPr>
              <w:t>c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dm³)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0,0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0,0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K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 xml:space="preserve">+ 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(cmol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bscript"/>
                <w:lang w:val="en-US"/>
              </w:rPr>
              <w:t>c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dm³)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0,74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0,63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Na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 xml:space="preserve">+ 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(cmol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bscript"/>
                <w:lang w:val="en-US"/>
              </w:rPr>
              <w:t>c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dm³)</w:t>
            </w:r>
          </w:p>
        </w:tc>
        <w:tc>
          <w:tcPr>
            <w:tcW w:w="1772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0,11</w:t>
            </w:r>
          </w:p>
        </w:tc>
        <w:tc>
          <w:tcPr>
            <w:tcW w:w="1775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0,19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P (mg/dm³)</w:t>
            </w:r>
          </w:p>
        </w:tc>
        <w:tc>
          <w:tcPr>
            <w:tcW w:w="177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207,0</w:t>
            </w:r>
          </w:p>
        </w:tc>
        <w:tc>
          <w:tcPr>
            <w:tcW w:w="17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58,0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Matéria</w:t>
            </w:r>
            <w:r w:rsidR="00B7184E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906B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orgânica (%)</w:t>
            </w:r>
          </w:p>
        </w:tc>
        <w:tc>
          <w:tcPr>
            <w:tcW w:w="177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0,56</w:t>
            </w:r>
          </w:p>
        </w:tc>
        <w:tc>
          <w:tcPr>
            <w:tcW w:w="17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-US"/>
              </w:rPr>
              <w:t>0,53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Argila (g kg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>-1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775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11</w:t>
            </w:r>
          </w:p>
        </w:tc>
      </w:tr>
      <w:tr w:rsidR="00E16B01" w:rsidRPr="00C906B2" w:rsidTr="00EA39BF">
        <w:trPr>
          <w:trHeight w:val="272"/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Silte (g kg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>-1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60</w:t>
            </w:r>
          </w:p>
        </w:tc>
      </w:tr>
      <w:tr w:rsidR="00E16B01" w:rsidRPr="00C906B2" w:rsidTr="00EA39BF">
        <w:trPr>
          <w:trHeight w:val="85"/>
          <w:jc w:val="center"/>
        </w:trPr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Areia (g kg</w:t>
            </w:r>
            <w:r w:rsidRPr="00C906B2">
              <w:rPr>
                <w:rFonts w:ascii="Century Gothic" w:hAnsi="Century Gothic" w:cs="Arial"/>
                <w:sz w:val="20"/>
                <w:szCs w:val="20"/>
                <w:vertAlign w:val="superscript"/>
                <w:lang w:val="en-US"/>
              </w:rPr>
              <w:t>-1</w:t>
            </w: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870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16B01" w:rsidRPr="00C906B2" w:rsidRDefault="00E16B01" w:rsidP="00EA39B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C906B2">
              <w:rPr>
                <w:rFonts w:ascii="Century Gothic" w:hAnsi="Century Gothic" w:cs="Arial"/>
                <w:sz w:val="20"/>
                <w:szCs w:val="20"/>
                <w:lang w:val="en-US"/>
              </w:rPr>
              <w:t>774</w:t>
            </w:r>
          </w:p>
        </w:tc>
      </w:tr>
    </w:tbl>
    <w:p w:rsidR="00E16B01" w:rsidRPr="00C906B2" w:rsidRDefault="00E16B01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EA39BF">
        <w:rPr>
          <w:rFonts w:ascii="Century Gothic" w:hAnsi="Century Gothic" w:cs="Arial"/>
          <w:sz w:val="20"/>
          <w:szCs w:val="24"/>
        </w:rPr>
        <w:t xml:space="preserve">P e K: Melich-1; Ca e Mg: KCl </w:t>
      </w:r>
      <w:smartTag w:uri="urn:schemas-microsoft-com:office:smarttags" w:element="metricconverter">
        <w:smartTagPr>
          <w:attr w:name="ProductID" w:val="1 M"/>
        </w:smartTagPr>
        <w:r w:rsidRPr="00EA39BF">
          <w:rPr>
            <w:rFonts w:ascii="Century Gothic" w:hAnsi="Century Gothic" w:cs="Arial"/>
            <w:sz w:val="20"/>
            <w:szCs w:val="24"/>
          </w:rPr>
          <w:t>1 M</w:t>
        </w:r>
      </w:smartTag>
    </w:p>
    <w:p w:rsidR="00656ABC" w:rsidRPr="00C906B2" w:rsidRDefault="00BC07D8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0A6FA9" w:rsidRPr="00C906B2">
        <w:rPr>
          <w:rFonts w:ascii="Century Gothic" w:hAnsi="Century Gothic"/>
          <w:sz w:val="24"/>
          <w:szCs w:val="24"/>
        </w:rPr>
        <w:t xml:space="preserve">O </w:t>
      </w:r>
      <w:r w:rsidR="00B7184E" w:rsidRPr="00C906B2">
        <w:rPr>
          <w:rFonts w:ascii="Century Gothic" w:hAnsi="Century Gothic"/>
          <w:sz w:val="24"/>
          <w:szCs w:val="24"/>
        </w:rPr>
        <w:t>pomar</w:t>
      </w:r>
      <w:r w:rsidR="00B7184E">
        <w:rPr>
          <w:rFonts w:ascii="Century Gothic" w:hAnsi="Century Gothic"/>
          <w:sz w:val="24"/>
          <w:szCs w:val="24"/>
        </w:rPr>
        <w:t xml:space="preserve"> foi</w:t>
      </w:r>
      <w:r w:rsidR="000A6FA9" w:rsidRPr="00C906B2">
        <w:rPr>
          <w:rFonts w:ascii="Century Gothic" w:hAnsi="Century Gothic"/>
          <w:sz w:val="24"/>
          <w:szCs w:val="24"/>
        </w:rPr>
        <w:t xml:space="preserve"> </w:t>
      </w:r>
      <w:r w:rsidR="00B7184E" w:rsidRPr="00C906B2">
        <w:rPr>
          <w:rFonts w:ascii="Century Gothic" w:hAnsi="Century Gothic"/>
          <w:sz w:val="24"/>
          <w:szCs w:val="24"/>
        </w:rPr>
        <w:t>formado por</w:t>
      </w:r>
      <w:r w:rsidR="000A6FA9" w:rsidRPr="00C906B2">
        <w:rPr>
          <w:rFonts w:ascii="Century Gothic" w:hAnsi="Century Gothic"/>
          <w:sz w:val="24"/>
          <w:szCs w:val="24"/>
        </w:rPr>
        <w:t xml:space="preserve"> goiabeiras </w:t>
      </w:r>
      <w:r w:rsidRPr="00C906B2">
        <w:rPr>
          <w:rFonts w:ascii="Century Gothic" w:hAnsi="Century Gothic"/>
          <w:sz w:val="24"/>
          <w:szCs w:val="24"/>
        </w:rPr>
        <w:t xml:space="preserve">da cultivar Paluma propagadas por estaquia, com um ano de idade, </w:t>
      </w:r>
      <w:r w:rsidR="00B7184E" w:rsidRPr="00C906B2">
        <w:rPr>
          <w:rFonts w:ascii="Century Gothic" w:hAnsi="Century Gothic"/>
          <w:sz w:val="24"/>
          <w:szCs w:val="24"/>
        </w:rPr>
        <w:t>cultivadas no</w:t>
      </w:r>
      <w:r w:rsidRPr="00C906B2">
        <w:rPr>
          <w:rFonts w:ascii="Century Gothic" w:hAnsi="Century Gothic"/>
          <w:sz w:val="24"/>
          <w:szCs w:val="24"/>
        </w:rPr>
        <w:t xml:space="preserve"> espaçamento 4 x 4m, irrigadas diariamente com um emissor por planta com </w:t>
      </w:r>
      <w:r w:rsidR="00806616">
        <w:rPr>
          <w:rFonts w:ascii="Century Gothic" w:hAnsi="Century Gothic"/>
          <w:sz w:val="24"/>
          <w:szCs w:val="24"/>
        </w:rPr>
        <w:t xml:space="preserve">vazão </w:t>
      </w:r>
      <w:r w:rsidRPr="00C906B2">
        <w:rPr>
          <w:rFonts w:ascii="Century Gothic" w:hAnsi="Century Gothic"/>
          <w:sz w:val="24"/>
          <w:szCs w:val="24"/>
        </w:rPr>
        <w:t>de 42 L h</w:t>
      </w:r>
      <w:r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Pr="00C906B2">
        <w:rPr>
          <w:rFonts w:ascii="Century Gothic" w:hAnsi="Century Gothic"/>
          <w:sz w:val="24"/>
          <w:szCs w:val="24"/>
        </w:rPr>
        <w:t xml:space="preserve"> com base nos registro de evapotranspiração diária e corrigidas de acordo c</w:t>
      </w:r>
      <w:r w:rsidR="00C906B2" w:rsidRPr="00C906B2">
        <w:rPr>
          <w:rFonts w:ascii="Century Gothic" w:hAnsi="Century Gothic"/>
          <w:sz w:val="24"/>
          <w:szCs w:val="24"/>
        </w:rPr>
        <w:t>om o coeficiente de cultura (Kc).</w:t>
      </w:r>
      <w:r w:rsidR="00656ABC" w:rsidRPr="00C906B2">
        <w:rPr>
          <w:rFonts w:ascii="Century Gothic" w:hAnsi="Century Gothic"/>
          <w:sz w:val="24"/>
          <w:szCs w:val="24"/>
        </w:rPr>
        <w:t xml:space="preserve">Todas as práticas de manejo para a poda, controle de plantas </w:t>
      </w:r>
      <w:r w:rsidR="00656ABC" w:rsidRPr="00C906B2">
        <w:rPr>
          <w:rFonts w:ascii="Century Gothic" w:hAnsi="Century Gothic"/>
          <w:sz w:val="24"/>
          <w:szCs w:val="24"/>
        </w:rPr>
        <w:lastRenderedPageBreak/>
        <w:t>daninhas, pragas e doenças foram realizadas seguindo a</w:t>
      </w:r>
      <w:r w:rsidR="00656ABC" w:rsidRPr="00F93580">
        <w:rPr>
          <w:rFonts w:ascii="Century Gothic" w:hAnsi="Century Gothic"/>
          <w:sz w:val="24"/>
          <w:szCs w:val="24"/>
        </w:rPr>
        <w:t>s instruções d</w:t>
      </w:r>
      <w:r w:rsidR="00806616">
        <w:rPr>
          <w:rFonts w:ascii="Century Gothic" w:hAnsi="Century Gothic"/>
          <w:sz w:val="24"/>
          <w:szCs w:val="24"/>
        </w:rPr>
        <w:t>e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656ABC" w:rsidRPr="00F93580">
        <w:rPr>
          <w:rFonts w:ascii="Century Gothic" w:hAnsi="Century Gothic"/>
          <w:sz w:val="24"/>
          <w:szCs w:val="24"/>
        </w:rPr>
        <w:t>Natale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656ABC" w:rsidRPr="00F93580">
        <w:rPr>
          <w:rFonts w:ascii="Century Gothic" w:hAnsi="Century Gothic"/>
          <w:sz w:val="24"/>
          <w:szCs w:val="24"/>
        </w:rPr>
        <w:t>et al. (2009).</w:t>
      </w:r>
    </w:p>
    <w:p w:rsidR="008415F3" w:rsidRPr="00C906B2" w:rsidRDefault="00656ABC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  <w:lang w:val="pt-PT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8415F3" w:rsidRPr="00C906B2">
        <w:rPr>
          <w:rFonts w:ascii="Century Gothic" w:hAnsi="Century Gothic"/>
          <w:sz w:val="24"/>
          <w:szCs w:val="24"/>
        </w:rPr>
        <w:t xml:space="preserve">O delineamento experimental </w:t>
      </w:r>
      <w:r w:rsidR="00806616">
        <w:rPr>
          <w:rFonts w:ascii="Century Gothic" w:hAnsi="Century Gothic"/>
          <w:sz w:val="24"/>
          <w:szCs w:val="24"/>
        </w:rPr>
        <w:t xml:space="preserve">adotado </w:t>
      </w:r>
      <w:r w:rsidR="008415F3" w:rsidRPr="00C906B2">
        <w:rPr>
          <w:rFonts w:ascii="Century Gothic" w:hAnsi="Century Gothic"/>
          <w:sz w:val="24"/>
          <w:szCs w:val="24"/>
        </w:rPr>
        <w:t>foi em blocos casualizados com tratamentos distribuídos em esquema fatorial (5 x 2) referentes às c</w:t>
      </w:r>
      <w:r w:rsidR="00FE394E" w:rsidRPr="00C906B2">
        <w:rPr>
          <w:rFonts w:ascii="Century Gothic" w:hAnsi="Century Gothic"/>
          <w:sz w:val="24"/>
          <w:szCs w:val="24"/>
        </w:rPr>
        <w:t>oncentrações de biofertilizante</w:t>
      </w:r>
      <w:r w:rsidR="008415F3" w:rsidRPr="00C906B2">
        <w:rPr>
          <w:rFonts w:ascii="Century Gothic" w:hAnsi="Century Gothic"/>
          <w:sz w:val="24"/>
          <w:szCs w:val="24"/>
        </w:rPr>
        <w:t xml:space="preserve"> [0, 2,5, 5,0, 7,5 e 10%] e </w:t>
      </w:r>
      <w:r w:rsidR="00806616">
        <w:rPr>
          <w:rFonts w:ascii="Century Gothic" w:hAnsi="Century Gothic"/>
          <w:sz w:val="24"/>
          <w:szCs w:val="24"/>
        </w:rPr>
        <w:t xml:space="preserve">adubação nitrogenada </w:t>
      </w:r>
      <w:r w:rsidR="008415F3" w:rsidRPr="00C906B2">
        <w:rPr>
          <w:rFonts w:ascii="Century Gothic" w:hAnsi="Century Gothic"/>
          <w:sz w:val="24"/>
          <w:szCs w:val="24"/>
        </w:rPr>
        <w:t xml:space="preserve"> (50% e 100% d</w:t>
      </w:r>
      <w:r w:rsidR="00806616">
        <w:rPr>
          <w:rFonts w:ascii="Century Gothic" w:hAnsi="Century Gothic"/>
          <w:sz w:val="24"/>
          <w:szCs w:val="24"/>
        </w:rPr>
        <w:t>o</w:t>
      </w:r>
      <w:r w:rsidR="008415F3" w:rsidRPr="00C906B2">
        <w:rPr>
          <w:rFonts w:ascii="Century Gothic" w:hAnsi="Century Gothic"/>
          <w:sz w:val="24"/>
          <w:szCs w:val="24"/>
        </w:rPr>
        <w:t xml:space="preserve"> N recomendado segundo a demanda da cultura), com quatro repetições de cinco plantas cada.</w:t>
      </w:r>
    </w:p>
    <w:p w:rsidR="00AA1AB1" w:rsidRPr="00C906B2" w:rsidRDefault="00797180" w:rsidP="00B614EA">
      <w:pPr>
        <w:spacing w:after="0" w:line="480" w:lineRule="auto"/>
        <w:jc w:val="both"/>
        <w:rPr>
          <w:rFonts w:ascii="Century Gothic" w:hAnsi="Century Gothic" w:cs="HelveticaNeue-Roman"/>
          <w:color w:val="FF0000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  <w:t xml:space="preserve">O biofertilizante utilizado no experimento foi constituído de esterco e água, na razão 1:1 (em volume), submetido </w:t>
      </w:r>
      <w:r w:rsidR="00806616">
        <w:rPr>
          <w:rFonts w:ascii="Century Gothic" w:hAnsi="Century Gothic"/>
          <w:sz w:val="24"/>
          <w:szCs w:val="24"/>
        </w:rPr>
        <w:t xml:space="preserve">à </w:t>
      </w:r>
      <w:r w:rsidRPr="00C906B2">
        <w:rPr>
          <w:rFonts w:ascii="Century Gothic" w:hAnsi="Century Gothic"/>
          <w:sz w:val="24"/>
          <w:szCs w:val="24"/>
        </w:rPr>
        <w:t>fermentação ana</w:t>
      </w:r>
      <w:r w:rsidR="00D32AFC" w:rsidRPr="00C906B2">
        <w:rPr>
          <w:rFonts w:ascii="Century Gothic" w:hAnsi="Century Gothic"/>
          <w:sz w:val="24"/>
          <w:szCs w:val="24"/>
        </w:rPr>
        <w:t xml:space="preserve">eróbica </w:t>
      </w:r>
      <w:r w:rsidR="00806616">
        <w:rPr>
          <w:rFonts w:ascii="Century Gothic" w:hAnsi="Century Gothic"/>
          <w:sz w:val="24"/>
          <w:szCs w:val="24"/>
        </w:rPr>
        <w:t>por</w:t>
      </w:r>
      <w:r w:rsidR="00D32AFC" w:rsidRPr="00C906B2">
        <w:rPr>
          <w:rFonts w:ascii="Century Gothic" w:hAnsi="Century Gothic"/>
          <w:sz w:val="24"/>
          <w:szCs w:val="24"/>
        </w:rPr>
        <w:t xml:space="preserve"> 30 dias</w:t>
      </w:r>
      <w:r w:rsidRPr="00C906B2">
        <w:rPr>
          <w:rFonts w:ascii="Century Gothic" w:hAnsi="Century Gothic"/>
          <w:sz w:val="24"/>
          <w:szCs w:val="24"/>
        </w:rPr>
        <w:t xml:space="preserve">. A </w:t>
      </w:r>
      <w:r w:rsidR="00806616">
        <w:rPr>
          <w:rFonts w:ascii="Century Gothic" w:hAnsi="Century Gothic"/>
          <w:sz w:val="24"/>
          <w:szCs w:val="24"/>
        </w:rPr>
        <w:t>aplicação do biofertilizante</w:t>
      </w:r>
      <w:r w:rsidRPr="00C906B2">
        <w:rPr>
          <w:rFonts w:ascii="Century Gothic" w:hAnsi="Century Gothic"/>
          <w:sz w:val="24"/>
          <w:szCs w:val="24"/>
        </w:rPr>
        <w:t xml:space="preserve"> foi feita quinzenalmente em uma área de solo de 0,283 m², em torno da base da planta por meio da água da irrigação</w:t>
      </w:r>
      <w:r w:rsidR="00D030F1" w:rsidRPr="00C906B2">
        <w:rPr>
          <w:rFonts w:ascii="Century Gothic" w:hAnsi="Century Gothic"/>
          <w:sz w:val="24"/>
          <w:szCs w:val="24"/>
        </w:rPr>
        <w:t>, cada planta recebeu 2,4 L m</w:t>
      </w:r>
      <w:r w:rsidR="00DD1667" w:rsidRPr="00C906B2">
        <w:rPr>
          <w:rFonts w:ascii="Century Gothic" w:hAnsi="Century Gothic"/>
          <w:sz w:val="24"/>
          <w:szCs w:val="24"/>
          <w:vertAlign w:val="superscript"/>
        </w:rPr>
        <w:t>-</w:t>
      </w:r>
      <w:r w:rsidR="00DD1667" w:rsidRPr="00C906B2">
        <w:rPr>
          <w:rFonts w:ascii="Century Gothic" w:hAnsi="Century Gothic"/>
          <w:sz w:val="24"/>
          <w:szCs w:val="24"/>
        </w:rPr>
        <w:t>²</w:t>
      </w:r>
      <w:r w:rsidR="00D030F1" w:rsidRPr="00C906B2">
        <w:rPr>
          <w:rFonts w:ascii="Century Gothic" w:hAnsi="Century Gothic"/>
          <w:sz w:val="24"/>
          <w:szCs w:val="24"/>
        </w:rPr>
        <w:t xml:space="preserve"> por copa, de acordo com recomendação </w:t>
      </w:r>
      <w:r w:rsidR="00D030F1" w:rsidRPr="00F93580">
        <w:rPr>
          <w:rFonts w:ascii="Century Gothic" w:hAnsi="Century Gothic"/>
          <w:sz w:val="24"/>
          <w:szCs w:val="24"/>
        </w:rPr>
        <w:t>de Cavalcante et al. (2008</w:t>
      </w:r>
      <w:r w:rsidR="002B35B2">
        <w:rPr>
          <w:rFonts w:ascii="Century Gothic" w:hAnsi="Century Gothic"/>
          <w:sz w:val="24"/>
          <w:szCs w:val="24"/>
        </w:rPr>
        <w:t>a</w:t>
      </w:r>
      <w:r w:rsidR="00D030F1" w:rsidRPr="00F93580">
        <w:rPr>
          <w:rFonts w:ascii="Century Gothic" w:hAnsi="Century Gothic"/>
          <w:sz w:val="24"/>
          <w:szCs w:val="24"/>
        </w:rPr>
        <w:t>).</w:t>
      </w:r>
      <w:r w:rsidR="00BC07D8" w:rsidRPr="00C906B2">
        <w:rPr>
          <w:rFonts w:ascii="Century Gothic" w:hAnsi="Century Gothic"/>
          <w:sz w:val="24"/>
          <w:szCs w:val="24"/>
        </w:rPr>
        <w:t>O bio</w:t>
      </w:r>
      <w:r w:rsidR="00D030F1" w:rsidRPr="00C906B2">
        <w:rPr>
          <w:rFonts w:ascii="Century Gothic" w:hAnsi="Century Gothic"/>
          <w:sz w:val="24"/>
          <w:szCs w:val="24"/>
        </w:rPr>
        <w:t>fertilizante continha</w:t>
      </w:r>
      <w:r w:rsidR="00BC07D8" w:rsidRPr="00C906B2">
        <w:rPr>
          <w:rFonts w:ascii="Century Gothic" w:hAnsi="Century Gothic"/>
          <w:sz w:val="24"/>
          <w:szCs w:val="24"/>
        </w:rPr>
        <w:t xml:space="preserve"> 0,72 g</w:t>
      </w:r>
      <w:r w:rsidR="00FE394E" w:rsidRPr="00C906B2">
        <w:rPr>
          <w:rFonts w:ascii="Century Gothic" w:hAnsi="Century Gothic"/>
          <w:sz w:val="24"/>
          <w:szCs w:val="24"/>
        </w:rPr>
        <w:t xml:space="preserve"> 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BC07D8" w:rsidRPr="00C906B2">
        <w:rPr>
          <w:rFonts w:ascii="Century Gothic" w:hAnsi="Century Gothic"/>
          <w:sz w:val="24"/>
          <w:szCs w:val="24"/>
        </w:rPr>
        <w:t xml:space="preserve"> de N, 0,04 g </w:t>
      </w:r>
      <w:r w:rsidR="00FE394E" w:rsidRPr="00C906B2">
        <w:rPr>
          <w:rFonts w:ascii="Century Gothic" w:hAnsi="Century Gothic"/>
          <w:sz w:val="24"/>
          <w:szCs w:val="24"/>
        </w:rPr>
        <w:t>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BC07D8" w:rsidRPr="00C906B2">
        <w:rPr>
          <w:rFonts w:ascii="Century Gothic" w:hAnsi="Century Gothic"/>
          <w:sz w:val="24"/>
          <w:szCs w:val="24"/>
        </w:rPr>
        <w:t xml:space="preserve"> de P, 0,50 g </w:t>
      </w:r>
      <w:r w:rsidR="00FE394E" w:rsidRPr="00C906B2">
        <w:rPr>
          <w:rFonts w:ascii="Century Gothic" w:hAnsi="Century Gothic"/>
          <w:sz w:val="24"/>
          <w:szCs w:val="24"/>
        </w:rPr>
        <w:t>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BC07D8" w:rsidRPr="00C906B2">
        <w:rPr>
          <w:rFonts w:ascii="Century Gothic" w:hAnsi="Century Gothic"/>
          <w:sz w:val="24"/>
          <w:szCs w:val="24"/>
        </w:rPr>
        <w:t xml:space="preserve"> de K, 0,20 g </w:t>
      </w:r>
      <w:r w:rsidR="00FE394E" w:rsidRPr="00C906B2">
        <w:rPr>
          <w:rFonts w:ascii="Century Gothic" w:hAnsi="Century Gothic"/>
          <w:sz w:val="24"/>
          <w:szCs w:val="24"/>
        </w:rPr>
        <w:t>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BC07D8" w:rsidRPr="00C906B2">
        <w:rPr>
          <w:rFonts w:ascii="Century Gothic" w:hAnsi="Century Gothic"/>
          <w:sz w:val="24"/>
          <w:szCs w:val="24"/>
        </w:rPr>
        <w:t xml:space="preserve"> de Ca, 0,12 g </w:t>
      </w:r>
      <w:r w:rsidR="00FE394E" w:rsidRPr="00C906B2">
        <w:rPr>
          <w:rFonts w:ascii="Century Gothic" w:hAnsi="Century Gothic"/>
          <w:sz w:val="24"/>
          <w:szCs w:val="24"/>
        </w:rPr>
        <w:t>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FE394E" w:rsidRPr="00C906B2">
        <w:rPr>
          <w:rFonts w:ascii="Century Gothic" w:hAnsi="Century Gothic"/>
          <w:sz w:val="24"/>
          <w:szCs w:val="24"/>
        </w:rPr>
        <w:t xml:space="preserve"> de Mg, </w:t>
      </w:r>
      <w:r w:rsidR="00BC07D8" w:rsidRPr="00C906B2">
        <w:rPr>
          <w:rFonts w:ascii="Century Gothic" w:hAnsi="Century Gothic"/>
          <w:sz w:val="24"/>
          <w:szCs w:val="24"/>
        </w:rPr>
        <w:t xml:space="preserve">0,39 g </w:t>
      </w:r>
      <w:r w:rsidR="00FE394E" w:rsidRPr="00C906B2">
        <w:rPr>
          <w:rFonts w:ascii="Century Gothic" w:hAnsi="Century Gothic"/>
          <w:sz w:val="24"/>
          <w:szCs w:val="24"/>
        </w:rPr>
        <w:t>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5D1598" w:rsidRPr="00C906B2">
        <w:rPr>
          <w:rFonts w:ascii="Century Gothic" w:hAnsi="Century Gothic"/>
          <w:sz w:val="24"/>
          <w:szCs w:val="24"/>
        </w:rPr>
        <w:t xml:space="preserve"> de S, </w:t>
      </w:r>
      <w:r w:rsidR="00FE394E" w:rsidRPr="00C906B2">
        <w:rPr>
          <w:rFonts w:ascii="Century Gothic" w:hAnsi="Century Gothic"/>
          <w:sz w:val="24"/>
          <w:szCs w:val="24"/>
        </w:rPr>
        <w:t>4,0 mg 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</w:t>
      </w:r>
      <w:r w:rsidR="00FE394E" w:rsidRPr="00C906B2">
        <w:rPr>
          <w:rFonts w:ascii="Century Gothic" w:hAnsi="Century Gothic"/>
          <w:sz w:val="24"/>
          <w:szCs w:val="24"/>
        </w:rPr>
        <w:t>1 de B, 6,0 mg 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 xml:space="preserve">-1 </w:t>
      </w:r>
      <w:r w:rsidR="00FE394E" w:rsidRPr="00C906B2">
        <w:rPr>
          <w:rFonts w:ascii="Century Gothic" w:hAnsi="Century Gothic"/>
          <w:sz w:val="24"/>
          <w:szCs w:val="24"/>
        </w:rPr>
        <w:t>de Cu, 77 mg 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FE394E" w:rsidRPr="00C906B2">
        <w:rPr>
          <w:rFonts w:ascii="Century Gothic" w:hAnsi="Century Gothic"/>
          <w:sz w:val="24"/>
          <w:szCs w:val="24"/>
        </w:rPr>
        <w:t xml:space="preserve"> de Fe, 10 mg L</w:t>
      </w:r>
      <w:r w:rsidR="00FE394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AA1AB1" w:rsidRPr="00C906B2">
        <w:rPr>
          <w:rFonts w:ascii="Century Gothic" w:hAnsi="Century Gothic"/>
          <w:sz w:val="24"/>
          <w:szCs w:val="24"/>
        </w:rPr>
        <w:t>de Mn</w:t>
      </w:r>
      <w:r w:rsidR="00FE394E" w:rsidRPr="00C906B2">
        <w:rPr>
          <w:rFonts w:ascii="Century Gothic" w:hAnsi="Century Gothic"/>
          <w:sz w:val="24"/>
          <w:szCs w:val="24"/>
        </w:rPr>
        <w:t xml:space="preserve">, </w:t>
      </w:r>
      <w:r w:rsidR="00AA1AB1" w:rsidRPr="00C906B2">
        <w:rPr>
          <w:rFonts w:ascii="Century Gothic" w:hAnsi="Century Gothic"/>
          <w:sz w:val="24"/>
          <w:szCs w:val="24"/>
        </w:rPr>
        <w:t>16 mg L</w:t>
      </w:r>
      <w:r w:rsidR="00AA1AB1" w:rsidRPr="00C906B2">
        <w:rPr>
          <w:rFonts w:ascii="Century Gothic" w:hAnsi="Century Gothic"/>
          <w:sz w:val="24"/>
          <w:szCs w:val="24"/>
          <w:vertAlign w:val="superscript"/>
        </w:rPr>
        <w:t xml:space="preserve">-1 </w:t>
      </w:r>
      <w:r w:rsidR="00AA1AB1" w:rsidRPr="00C906B2">
        <w:rPr>
          <w:rFonts w:ascii="Century Gothic" w:hAnsi="Century Gothic"/>
          <w:sz w:val="24"/>
          <w:szCs w:val="24"/>
        </w:rPr>
        <w:t>de Zn e 81 mg L</w:t>
      </w:r>
      <w:r w:rsidR="00AA1AB1" w:rsidRPr="00C906B2">
        <w:rPr>
          <w:rFonts w:ascii="Century Gothic" w:hAnsi="Century Gothic"/>
          <w:sz w:val="24"/>
          <w:szCs w:val="24"/>
          <w:vertAlign w:val="superscript"/>
        </w:rPr>
        <w:t xml:space="preserve">-1 </w:t>
      </w:r>
      <w:r w:rsidR="00AA1AB1" w:rsidRPr="00C906B2">
        <w:rPr>
          <w:rFonts w:ascii="Century Gothic" w:hAnsi="Century Gothic"/>
          <w:sz w:val="24"/>
          <w:szCs w:val="24"/>
        </w:rPr>
        <w:t>de sódio.</w:t>
      </w:r>
    </w:p>
    <w:p w:rsidR="00656ABC" w:rsidRPr="00C906B2" w:rsidRDefault="00EA44C4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F93580">
        <w:rPr>
          <w:rFonts w:ascii="Century Gothic" w:hAnsi="Century Gothic"/>
          <w:sz w:val="24"/>
          <w:szCs w:val="24"/>
        </w:rPr>
        <w:t xml:space="preserve">As </w:t>
      </w:r>
      <w:r w:rsidR="00806616">
        <w:rPr>
          <w:rFonts w:ascii="Century Gothic" w:hAnsi="Century Gothic"/>
          <w:sz w:val="24"/>
          <w:szCs w:val="24"/>
        </w:rPr>
        <w:t xml:space="preserve">demais </w:t>
      </w:r>
      <w:r w:rsidR="00F93580">
        <w:rPr>
          <w:rFonts w:ascii="Century Gothic" w:hAnsi="Century Gothic"/>
          <w:sz w:val="24"/>
          <w:szCs w:val="24"/>
        </w:rPr>
        <w:t xml:space="preserve">adubações </w:t>
      </w:r>
      <w:r w:rsidR="00B7184E">
        <w:rPr>
          <w:rFonts w:ascii="Century Gothic" w:hAnsi="Century Gothic"/>
          <w:sz w:val="24"/>
          <w:szCs w:val="24"/>
        </w:rPr>
        <w:t>foram realizadas</w:t>
      </w:r>
      <w:r w:rsidR="00806616">
        <w:rPr>
          <w:rFonts w:ascii="Century Gothic" w:hAnsi="Century Gothic"/>
          <w:sz w:val="24"/>
          <w:szCs w:val="24"/>
        </w:rPr>
        <w:t xml:space="preserve"> quinzenalmente </w:t>
      </w:r>
      <w:r w:rsidR="00D030F1" w:rsidRPr="00C906B2">
        <w:rPr>
          <w:rFonts w:ascii="Century Gothic" w:hAnsi="Century Gothic"/>
          <w:sz w:val="24"/>
          <w:szCs w:val="24"/>
        </w:rPr>
        <w:t>através do sistema de fertirrigação</w:t>
      </w:r>
      <w:r w:rsidRPr="00C906B2">
        <w:rPr>
          <w:rFonts w:ascii="Century Gothic" w:hAnsi="Century Gothic"/>
          <w:sz w:val="24"/>
          <w:szCs w:val="24"/>
        </w:rPr>
        <w:t xml:space="preserve">, </w:t>
      </w:r>
      <w:r w:rsidR="00B7184E" w:rsidRPr="00C906B2">
        <w:rPr>
          <w:rFonts w:ascii="Century Gothic" w:hAnsi="Century Gothic"/>
          <w:sz w:val="24"/>
          <w:szCs w:val="24"/>
        </w:rPr>
        <w:t>baseada</w:t>
      </w:r>
      <w:r w:rsidR="00B7184E">
        <w:rPr>
          <w:rFonts w:ascii="Century Gothic" w:hAnsi="Century Gothic"/>
          <w:sz w:val="24"/>
          <w:szCs w:val="24"/>
        </w:rPr>
        <w:t>s</w:t>
      </w:r>
      <w:r w:rsidR="00B7184E" w:rsidRPr="00C906B2">
        <w:rPr>
          <w:rFonts w:ascii="Century Gothic" w:hAnsi="Century Gothic"/>
          <w:sz w:val="24"/>
          <w:szCs w:val="24"/>
        </w:rPr>
        <w:t xml:space="preserve"> na</w:t>
      </w:r>
      <w:r w:rsidRPr="00C906B2">
        <w:rPr>
          <w:rFonts w:ascii="Century Gothic" w:hAnsi="Century Gothic"/>
          <w:sz w:val="24"/>
          <w:szCs w:val="24"/>
        </w:rPr>
        <w:t xml:space="preserve"> análise de solo e</w:t>
      </w:r>
      <w:r w:rsidR="00D030F1" w:rsidRPr="00C906B2">
        <w:rPr>
          <w:rFonts w:ascii="Century Gothic" w:hAnsi="Century Gothic"/>
          <w:sz w:val="24"/>
          <w:szCs w:val="24"/>
        </w:rPr>
        <w:t xml:space="preserve"> demanda da cultura, </w:t>
      </w:r>
      <w:r w:rsidR="007A71C7" w:rsidRPr="00C906B2">
        <w:rPr>
          <w:rFonts w:ascii="Century Gothic" w:hAnsi="Century Gothic"/>
          <w:sz w:val="24"/>
          <w:szCs w:val="24"/>
        </w:rPr>
        <w:t xml:space="preserve">iniciando após a poda de produção e continuando até 20 dias antes da </w:t>
      </w:r>
      <w:r w:rsidR="00B7184E" w:rsidRPr="00C906B2">
        <w:rPr>
          <w:rFonts w:ascii="Century Gothic" w:hAnsi="Century Gothic"/>
          <w:sz w:val="24"/>
          <w:szCs w:val="24"/>
        </w:rPr>
        <w:t>colheita,</w:t>
      </w:r>
      <w:r w:rsidR="00B7184E">
        <w:rPr>
          <w:rFonts w:ascii="Century Gothic" w:hAnsi="Century Gothic"/>
          <w:sz w:val="24"/>
          <w:szCs w:val="24"/>
        </w:rPr>
        <w:t xml:space="preserve"> usando</w:t>
      </w:r>
      <w:r w:rsidR="00806616">
        <w:rPr>
          <w:rFonts w:ascii="Century Gothic" w:hAnsi="Century Gothic"/>
          <w:sz w:val="24"/>
          <w:szCs w:val="24"/>
        </w:rPr>
        <w:t xml:space="preserve"> fertilizante formulado </w:t>
      </w:r>
      <w:r w:rsidR="007A71C7" w:rsidRPr="00C906B2">
        <w:rPr>
          <w:rFonts w:ascii="Century Gothic" w:hAnsi="Century Gothic"/>
          <w:sz w:val="24"/>
          <w:szCs w:val="24"/>
        </w:rPr>
        <w:t>composto por</w:t>
      </w:r>
      <w:r w:rsidR="00D030F1" w:rsidRPr="00C906B2">
        <w:rPr>
          <w:rFonts w:ascii="Century Gothic" w:hAnsi="Century Gothic"/>
          <w:sz w:val="24"/>
          <w:szCs w:val="24"/>
        </w:rPr>
        <w:t xml:space="preserve"> 12% de N, 5% de P, 11% de K, 13,1% de Ca e 0,2% de B.</w:t>
      </w:r>
    </w:p>
    <w:p w:rsidR="00BC07D8" w:rsidRPr="00C906B2" w:rsidRDefault="00F25D0D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BC07D8" w:rsidRPr="00C906B2">
        <w:rPr>
          <w:rFonts w:ascii="Century Gothic" w:hAnsi="Century Gothic"/>
          <w:sz w:val="24"/>
          <w:szCs w:val="24"/>
        </w:rPr>
        <w:t xml:space="preserve">Para as análises dos teores de </w:t>
      </w:r>
      <w:r w:rsidR="00A64CF6">
        <w:rPr>
          <w:rFonts w:ascii="Century Gothic" w:hAnsi="Century Gothic"/>
          <w:sz w:val="24"/>
          <w:szCs w:val="24"/>
        </w:rPr>
        <w:t>micro</w:t>
      </w:r>
      <w:r w:rsidR="00BC07D8" w:rsidRPr="00C906B2">
        <w:rPr>
          <w:rFonts w:ascii="Century Gothic" w:hAnsi="Century Gothic"/>
          <w:sz w:val="24"/>
          <w:szCs w:val="24"/>
        </w:rPr>
        <w:t xml:space="preserve">nutrientes foliares, quatro repetições de 60 folhas (em cada repetição, 12 folhas por planta sendo 5 plantas amostradas) foram coletadas a partir de ramos terminais sem frutos, da parte média do dossel, na floração. De acordo com as recomendações de </w:t>
      </w:r>
      <w:r w:rsidR="00B7184E" w:rsidRPr="00BA7124">
        <w:rPr>
          <w:rFonts w:ascii="Century Gothic" w:hAnsi="Century Gothic"/>
          <w:sz w:val="24"/>
          <w:szCs w:val="24"/>
        </w:rPr>
        <w:t>Natalie</w:t>
      </w:r>
      <w:r w:rsidR="00C906B2" w:rsidRPr="00BA7124">
        <w:rPr>
          <w:rFonts w:ascii="Century Gothic" w:hAnsi="Century Gothic"/>
          <w:sz w:val="24"/>
          <w:szCs w:val="24"/>
        </w:rPr>
        <w:t>&amp;</w:t>
      </w:r>
      <w:r w:rsidR="00BC07D8" w:rsidRPr="00BA7124">
        <w:rPr>
          <w:rFonts w:ascii="Century Gothic" w:hAnsi="Century Gothic"/>
          <w:sz w:val="24"/>
          <w:szCs w:val="24"/>
        </w:rPr>
        <w:t xml:space="preserve"> Prado (2002),</w:t>
      </w:r>
      <w:r w:rsidR="00BC07D8" w:rsidRPr="00C906B2">
        <w:rPr>
          <w:rFonts w:ascii="Century Gothic" w:hAnsi="Century Gothic"/>
          <w:sz w:val="24"/>
          <w:szCs w:val="24"/>
        </w:rPr>
        <w:t xml:space="preserve"> o </w:t>
      </w:r>
      <w:r w:rsidR="00BC07D8" w:rsidRPr="00C906B2">
        <w:rPr>
          <w:rFonts w:ascii="Century Gothic" w:hAnsi="Century Gothic"/>
          <w:sz w:val="24"/>
          <w:szCs w:val="24"/>
        </w:rPr>
        <w:lastRenderedPageBreak/>
        <w:t>terceiro par de folhas a</w:t>
      </w:r>
      <w:r w:rsidR="00AA1AB1" w:rsidRPr="00C906B2">
        <w:rPr>
          <w:rFonts w:ascii="Century Gothic" w:hAnsi="Century Gothic"/>
          <w:sz w:val="24"/>
          <w:szCs w:val="24"/>
        </w:rPr>
        <w:t xml:space="preserve"> partir do ápice dos brotos foi colhido</w:t>
      </w:r>
      <w:r w:rsidR="00BC07D8" w:rsidRPr="00C906B2">
        <w:rPr>
          <w:rFonts w:ascii="Century Gothic" w:hAnsi="Century Gothic"/>
          <w:sz w:val="24"/>
          <w:szCs w:val="24"/>
        </w:rPr>
        <w:t xml:space="preserve"> para realizar a análise nutricional.</w:t>
      </w:r>
    </w:p>
    <w:p w:rsidR="00BC07D8" w:rsidRPr="00C906B2" w:rsidRDefault="003A6F0A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  <w:highlight w:val="cyan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BC07D8" w:rsidRPr="00C906B2">
        <w:rPr>
          <w:rFonts w:ascii="Century Gothic" w:hAnsi="Century Gothic"/>
          <w:sz w:val="24"/>
          <w:szCs w:val="24"/>
        </w:rPr>
        <w:t xml:space="preserve">As folhas foram analisadas quimicamente após a lavagem com água destilada e secagem a 70 °C durante 48 h. </w:t>
      </w:r>
      <w:r w:rsidR="008772AA" w:rsidRPr="00C906B2">
        <w:rPr>
          <w:rFonts w:ascii="Century Gothic" w:hAnsi="Century Gothic"/>
          <w:sz w:val="24"/>
          <w:szCs w:val="24"/>
        </w:rPr>
        <w:t>Os teores de B</w:t>
      </w:r>
      <w:r w:rsidR="00BC07D8" w:rsidRPr="00C906B2">
        <w:rPr>
          <w:rFonts w:ascii="Century Gothic" w:hAnsi="Century Gothic"/>
          <w:sz w:val="24"/>
          <w:szCs w:val="24"/>
        </w:rPr>
        <w:t xml:space="preserve"> foram determinados pelo </w:t>
      </w:r>
      <w:r w:rsidR="008772AA" w:rsidRPr="00C906B2">
        <w:rPr>
          <w:rFonts w:ascii="Century Gothic" w:hAnsi="Century Gothic"/>
          <w:sz w:val="24"/>
          <w:szCs w:val="24"/>
        </w:rPr>
        <w:t>método de espectrof</w:t>
      </w:r>
      <w:r w:rsidR="00DD148B" w:rsidRPr="00C906B2">
        <w:rPr>
          <w:rFonts w:ascii="Century Gothic" w:hAnsi="Century Gothic"/>
          <w:sz w:val="24"/>
          <w:szCs w:val="24"/>
        </w:rPr>
        <w:t xml:space="preserve">otometria de absorção molecular </w:t>
      </w:r>
      <w:r w:rsidR="00D439FB" w:rsidRPr="00C906B2">
        <w:rPr>
          <w:rFonts w:ascii="Century Gothic" w:hAnsi="Century Gothic"/>
          <w:sz w:val="24"/>
          <w:szCs w:val="24"/>
        </w:rPr>
        <w:t>e</w:t>
      </w:r>
      <w:r w:rsidR="008772AA" w:rsidRPr="00C906B2">
        <w:rPr>
          <w:rFonts w:ascii="Century Gothic" w:hAnsi="Century Gothic"/>
          <w:sz w:val="24"/>
          <w:szCs w:val="24"/>
        </w:rPr>
        <w:t xml:space="preserve"> os teores de Zn, Mn e Fe</w:t>
      </w:r>
      <w:r w:rsidR="00BC07D8" w:rsidRPr="00C906B2">
        <w:rPr>
          <w:rFonts w:ascii="Century Gothic" w:hAnsi="Century Gothic"/>
          <w:sz w:val="24"/>
          <w:szCs w:val="24"/>
        </w:rPr>
        <w:t xml:space="preserve"> foram determinados por espectrofotometria de absorção atômica</w:t>
      </w:r>
      <w:r w:rsidR="00E73CCC">
        <w:rPr>
          <w:rFonts w:ascii="Century Gothic" w:hAnsi="Century Gothic"/>
          <w:sz w:val="24"/>
          <w:szCs w:val="24"/>
        </w:rPr>
        <w:t xml:space="preserve"> </w:t>
      </w:r>
      <w:r w:rsidR="00C906B2" w:rsidRPr="00BA7124">
        <w:rPr>
          <w:rFonts w:ascii="Century Gothic" w:hAnsi="Century Gothic"/>
          <w:sz w:val="24"/>
          <w:szCs w:val="24"/>
        </w:rPr>
        <w:t>(Chapman &amp;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BC07D8" w:rsidRPr="00BA7124">
        <w:rPr>
          <w:rFonts w:ascii="Century Gothic" w:hAnsi="Century Gothic"/>
          <w:sz w:val="24"/>
          <w:szCs w:val="24"/>
        </w:rPr>
        <w:t>P</w:t>
      </w:r>
      <w:r w:rsidR="00C906B2" w:rsidRPr="00BA7124">
        <w:rPr>
          <w:rFonts w:ascii="Century Gothic" w:hAnsi="Century Gothic"/>
          <w:sz w:val="24"/>
          <w:szCs w:val="24"/>
        </w:rPr>
        <w:t>ratt</w:t>
      </w:r>
      <w:r w:rsidR="00BC07D8" w:rsidRPr="00BA7124">
        <w:rPr>
          <w:rFonts w:ascii="Century Gothic" w:hAnsi="Century Gothic"/>
          <w:sz w:val="24"/>
          <w:szCs w:val="24"/>
        </w:rPr>
        <w:t>, 1961).</w:t>
      </w:r>
    </w:p>
    <w:p w:rsidR="004222D9" w:rsidRPr="00C906B2" w:rsidRDefault="00BC07D8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  <w:t xml:space="preserve">Os dados foram submetidos </w:t>
      </w:r>
      <w:r w:rsidR="007E783E" w:rsidRPr="00C906B2">
        <w:rPr>
          <w:rFonts w:ascii="Century Gothic" w:hAnsi="Century Gothic"/>
          <w:sz w:val="24"/>
          <w:szCs w:val="24"/>
        </w:rPr>
        <w:t>à</w:t>
      </w:r>
      <w:r w:rsidRPr="00C906B2">
        <w:rPr>
          <w:rFonts w:ascii="Century Gothic" w:hAnsi="Century Gothic"/>
          <w:sz w:val="24"/>
          <w:szCs w:val="24"/>
        </w:rPr>
        <w:t xml:space="preserve"> análise de variância (ANOVA) utilizando-se </w:t>
      </w:r>
      <w:r w:rsidR="007E783E" w:rsidRPr="00C906B2">
        <w:rPr>
          <w:rFonts w:ascii="Century Gothic" w:hAnsi="Century Gothic"/>
          <w:sz w:val="24"/>
          <w:szCs w:val="24"/>
        </w:rPr>
        <w:t xml:space="preserve">o teste </w:t>
      </w:r>
      <w:r w:rsidR="005462CF">
        <w:rPr>
          <w:rFonts w:ascii="Century Gothic" w:hAnsi="Century Gothic"/>
          <w:sz w:val="24"/>
          <w:szCs w:val="24"/>
        </w:rPr>
        <w:t>‘</w:t>
      </w:r>
      <w:r w:rsidR="007E783E" w:rsidRPr="00C906B2">
        <w:rPr>
          <w:rFonts w:ascii="Century Gothic" w:hAnsi="Century Gothic"/>
          <w:sz w:val="24"/>
          <w:szCs w:val="24"/>
        </w:rPr>
        <w:t>F</w:t>
      </w:r>
      <w:r w:rsidR="005462CF">
        <w:rPr>
          <w:rFonts w:ascii="Century Gothic" w:hAnsi="Century Gothic"/>
          <w:sz w:val="24"/>
          <w:szCs w:val="24"/>
        </w:rPr>
        <w:t>’</w:t>
      </w:r>
      <w:r w:rsidR="007E783E" w:rsidRPr="00C906B2">
        <w:rPr>
          <w:rFonts w:ascii="Century Gothic" w:hAnsi="Century Gothic"/>
          <w:sz w:val="24"/>
          <w:szCs w:val="24"/>
        </w:rPr>
        <w:t xml:space="preserve"> da ANOVA, </w:t>
      </w:r>
      <w:r w:rsidRPr="00C906B2">
        <w:rPr>
          <w:rFonts w:ascii="Century Gothic" w:hAnsi="Century Gothic"/>
          <w:sz w:val="24"/>
          <w:szCs w:val="24"/>
        </w:rPr>
        <w:t>as médias do fertilizante N</w:t>
      </w:r>
      <w:r w:rsidR="007E783E" w:rsidRPr="00C906B2">
        <w:rPr>
          <w:rFonts w:ascii="Century Gothic" w:hAnsi="Century Gothic"/>
          <w:sz w:val="24"/>
          <w:szCs w:val="24"/>
        </w:rPr>
        <w:t xml:space="preserve"> foram comparadas pelo test</w:t>
      </w:r>
      <w:r w:rsidR="008772AA" w:rsidRPr="00C906B2">
        <w:rPr>
          <w:rFonts w:ascii="Century Gothic" w:hAnsi="Century Gothic"/>
          <w:sz w:val="24"/>
          <w:szCs w:val="24"/>
        </w:rPr>
        <w:t>e de Tu</w:t>
      </w:r>
      <w:r w:rsidR="007E783E" w:rsidRPr="00C906B2">
        <w:rPr>
          <w:rFonts w:ascii="Century Gothic" w:hAnsi="Century Gothic"/>
          <w:sz w:val="24"/>
          <w:szCs w:val="24"/>
        </w:rPr>
        <w:t xml:space="preserve">key e </w:t>
      </w:r>
      <w:r w:rsidRPr="00C906B2">
        <w:rPr>
          <w:rFonts w:ascii="Century Gothic" w:hAnsi="Century Gothic"/>
          <w:sz w:val="24"/>
          <w:szCs w:val="24"/>
        </w:rPr>
        <w:t>as doses de bi</w:t>
      </w:r>
      <w:r w:rsidR="00A64CF6">
        <w:rPr>
          <w:rFonts w:ascii="Century Gothic" w:hAnsi="Century Gothic"/>
          <w:sz w:val="24"/>
          <w:szCs w:val="24"/>
        </w:rPr>
        <w:t>ofertilizante foram submetidas à</w:t>
      </w:r>
      <w:r w:rsidRPr="00C906B2">
        <w:rPr>
          <w:rFonts w:ascii="Century Gothic" w:hAnsi="Century Gothic"/>
          <w:sz w:val="24"/>
          <w:szCs w:val="24"/>
        </w:rPr>
        <w:t xml:space="preserve"> análise de regressão com dados combinados dos ensaios consecutivos. As análises estatísticas foram realizadas </w:t>
      </w:r>
      <w:r w:rsidR="007E783E" w:rsidRPr="00C906B2">
        <w:rPr>
          <w:rFonts w:ascii="Century Gothic" w:hAnsi="Century Gothic"/>
          <w:sz w:val="24"/>
          <w:szCs w:val="24"/>
        </w:rPr>
        <w:t>utilizando os softwares Sisvar</w:t>
      </w:r>
      <w:r w:rsidR="00AB7915" w:rsidRPr="00C906B2">
        <w:rPr>
          <w:rFonts w:ascii="Century Gothic" w:hAnsi="Century Gothic"/>
          <w:sz w:val="24"/>
          <w:szCs w:val="24"/>
        </w:rPr>
        <w:t xml:space="preserve"> 5.3 e Sigma</w:t>
      </w:r>
      <w:r w:rsidRPr="00C906B2">
        <w:rPr>
          <w:rFonts w:ascii="Century Gothic" w:hAnsi="Century Gothic"/>
          <w:sz w:val="24"/>
          <w:szCs w:val="24"/>
        </w:rPr>
        <w:t>Plot</w:t>
      </w:r>
      <w:r w:rsidR="00AB7915" w:rsidRPr="00C906B2">
        <w:rPr>
          <w:rFonts w:ascii="Century Gothic" w:hAnsi="Century Gothic"/>
          <w:sz w:val="24"/>
          <w:szCs w:val="24"/>
        </w:rPr>
        <w:t xml:space="preserve"> 10.0</w:t>
      </w:r>
      <w:r w:rsidR="008772AA" w:rsidRPr="00C906B2">
        <w:rPr>
          <w:rFonts w:ascii="Century Gothic" w:hAnsi="Century Gothic"/>
          <w:sz w:val="24"/>
          <w:szCs w:val="24"/>
        </w:rPr>
        <w:t xml:space="preserve">, e os </w:t>
      </w:r>
      <w:r w:rsidR="00C906B2">
        <w:rPr>
          <w:rFonts w:ascii="Century Gothic" w:hAnsi="Century Gothic"/>
          <w:sz w:val="24"/>
          <w:szCs w:val="24"/>
        </w:rPr>
        <w:t>resultados</w:t>
      </w:r>
      <w:r w:rsidR="008772AA" w:rsidRPr="00C906B2">
        <w:rPr>
          <w:rFonts w:ascii="Century Gothic" w:hAnsi="Century Gothic"/>
          <w:sz w:val="24"/>
          <w:szCs w:val="24"/>
        </w:rPr>
        <w:t xml:space="preserve"> considerados significativos a 5% de probabilidade</w:t>
      </w:r>
      <w:r w:rsidRPr="00C906B2">
        <w:rPr>
          <w:rFonts w:ascii="Century Gothic" w:hAnsi="Century Gothic"/>
          <w:sz w:val="24"/>
          <w:szCs w:val="24"/>
        </w:rPr>
        <w:t>.</w:t>
      </w:r>
    </w:p>
    <w:p w:rsidR="00353735" w:rsidRDefault="00353735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  <w:t>Os teores foliar</w:t>
      </w:r>
      <w:r w:rsidR="00AF22AC" w:rsidRPr="00C906B2">
        <w:rPr>
          <w:rFonts w:ascii="Century Gothic" w:hAnsi="Century Gothic"/>
          <w:sz w:val="24"/>
          <w:szCs w:val="24"/>
        </w:rPr>
        <w:t>es dos micronutrientes avaliados</w:t>
      </w:r>
      <w:r w:rsidRPr="00C906B2">
        <w:rPr>
          <w:rFonts w:ascii="Century Gothic" w:hAnsi="Century Gothic"/>
          <w:sz w:val="24"/>
          <w:szCs w:val="24"/>
        </w:rPr>
        <w:t xml:space="preserve"> não </w:t>
      </w:r>
      <w:r w:rsidR="00A64CF6">
        <w:rPr>
          <w:rFonts w:ascii="Century Gothic" w:hAnsi="Century Gothic"/>
          <w:sz w:val="24"/>
          <w:szCs w:val="24"/>
        </w:rPr>
        <w:t xml:space="preserve">foram </w:t>
      </w:r>
      <w:r w:rsidRPr="00C906B2">
        <w:rPr>
          <w:rFonts w:ascii="Century Gothic" w:hAnsi="Century Gothic"/>
          <w:sz w:val="24"/>
          <w:szCs w:val="24"/>
        </w:rPr>
        <w:t>influencia</w:t>
      </w:r>
      <w:r w:rsidR="00A64CF6">
        <w:rPr>
          <w:rFonts w:ascii="Century Gothic" w:hAnsi="Century Gothic"/>
          <w:sz w:val="24"/>
          <w:szCs w:val="24"/>
        </w:rPr>
        <w:t>dos</w:t>
      </w:r>
      <w:r w:rsidRPr="00C906B2">
        <w:rPr>
          <w:rFonts w:ascii="Century Gothic" w:hAnsi="Century Gothic"/>
          <w:sz w:val="24"/>
          <w:szCs w:val="24"/>
        </w:rPr>
        <w:t xml:space="preserve"> significativa</w:t>
      </w:r>
      <w:r w:rsidR="00B41B95">
        <w:rPr>
          <w:rFonts w:ascii="Century Gothic" w:hAnsi="Century Gothic"/>
          <w:sz w:val="24"/>
          <w:szCs w:val="24"/>
        </w:rPr>
        <w:t>mente</w:t>
      </w:r>
      <w:r w:rsidR="00E73CCC">
        <w:rPr>
          <w:rFonts w:ascii="Century Gothic" w:hAnsi="Century Gothic"/>
          <w:sz w:val="24"/>
          <w:szCs w:val="24"/>
        </w:rPr>
        <w:t xml:space="preserve"> </w:t>
      </w:r>
      <w:r w:rsidR="00B41B95">
        <w:rPr>
          <w:rFonts w:ascii="Century Gothic" w:hAnsi="Century Gothic"/>
          <w:sz w:val="24"/>
          <w:szCs w:val="24"/>
        </w:rPr>
        <w:t>pelas</w:t>
      </w:r>
      <w:r w:rsidR="00DD148B" w:rsidRPr="00C906B2">
        <w:rPr>
          <w:rFonts w:ascii="Century Gothic" w:hAnsi="Century Gothic"/>
          <w:sz w:val="24"/>
          <w:szCs w:val="24"/>
        </w:rPr>
        <w:t xml:space="preserve"> doses de biofertilizante e</w:t>
      </w:r>
      <w:r w:rsidR="00E73CCC">
        <w:rPr>
          <w:rFonts w:ascii="Century Gothic" w:hAnsi="Century Gothic"/>
          <w:sz w:val="24"/>
          <w:szCs w:val="24"/>
        </w:rPr>
        <w:t xml:space="preserve"> </w:t>
      </w:r>
      <w:r w:rsidR="00DD148B" w:rsidRPr="00C906B2">
        <w:rPr>
          <w:rFonts w:ascii="Century Gothic" w:hAnsi="Century Gothic"/>
          <w:sz w:val="24"/>
          <w:szCs w:val="24"/>
        </w:rPr>
        <w:t xml:space="preserve">de </w:t>
      </w:r>
      <w:r w:rsidRPr="00C906B2">
        <w:rPr>
          <w:rFonts w:ascii="Century Gothic" w:hAnsi="Century Gothic"/>
          <w:sz w:val="24"/>
          <w:szCs w:val="24"/>
        </w:rPr>
        <w:t xml:space="preserve">nitrogênio estudadas, assim como a interação entre </w:t>
      </w:r>
      <w:r w:rsidR="0083055B" w:rsidRPr="00C906B2">
        <w:rPr>
          <w:rFonts w:ascii="Century Gothic" w:hAnsi="Century Gothic"/>
          <w:sz w:val="24"/>
          <w:szCs w:val="24"/>
        </w:rPr>
        <w:t>os fatores não foi signif</w:t>
      </w:r>
      <w:r w:rsidR="007219CE" w:rsidRPr="00C906B2">
        <w:rPr>
          <w:rFonts w:ascii="Century Gothic" w:hAnsi="Century Gothic"/>
          <w:sz w:val="24"/>
          <w:szCs w:val="24"/>
        </w:rPr>
        <w:t xml:space="preserve">icativa, com exceção </w:t>
      </w:r>
      <w:r w:rsidR="00B41B95">
        <w:rPr>
          <w:rFonts w:ascii="Century Gothic" w:hAnsi="Century Gothic"/>
          <w:sz w:val="24"/>
          <w:szCs w:val="24"/>
        </w:rPr>
        <w:t xml:space="preserve">para </w:t>
      </w:r>
      <w:r w:rsidR="007219CE" w:rsidRPr="00C906B2">
        <w:rPr>
          <w:rFonts w:ascii="Century Gothic" w:hAnsi="Century Gothic"/>
          <w:sz w:val="24"/>
          <w:szCs w:val="24"/>
        </w:rPr>
        <w:t>o manganês (Tabela 2).</w:t>
      </w:r>
    </w:p>
    <w:p w:rsidR="002A49DD" w:rsidRPr="00C906B2" w:rsidRDefault="002A49DD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</w:p>
    <w:p w:rsidR="007219CE" w:rsidRPr="00C906B2" w:rsidRDefault="007219CE" w:rsidP="00B614EA">
      <w:pPr>
        <w:spacing w:after="0" w:line="480" w:lineRule="auto"/>
        <w:jc w:val="both"/>
        <w:rPr>
          <w:rFonts w:ascii="Century Gothic" w:hAnsi="Century Gothic"/>
          <w:bCs/>
          <w:sz w:val="24"/>
          <w:szCs w:val="24"/>
        </w:rPr>
      </w:pPr>
      <w:r w:rsidRPr="00481C03">
        <w:rPr>
          <w:rFonts w:ascii="Century Gothic" w:hAnsi="Century Gothic"/>
          <w:b/>
          <w:bCs/>
          <w:sz w:val="24"/>
          <w:szCs w:val="24"/>
        </w:rPr>
        <w:t>Tabela 2</w:t>
      </w:r>
      <w:r w:rsidR="00481C03">
        <w:rPr>
          <w:rFonts w:ascii="Century Gothic" w:hAnsi="Century Gothic"/>
          <w:bCs/>
          <w:sz w:val="24"/>
          <w:szCs w:val="24"/>
        </w:rPr>
        <w:t>.</w:t>
      </w:r>
      <w:r w:rsidRPr="00C906B2">
        <w:rPr>
          <w:rFonts w:ascii="Century Gothic" w:hAnsi="Century Gothic"/>
          <w:bCs/>
          <w:sz w:val="24"/>
          <w:szCs w:val="24"/>
        </w:rPr>
        <w:t xml:space="preserve"> Análise de variância para teores foliares </w:t>
      </w:r>
      <w:r w:rsidR="00B41B95">
        <w:rPr>
          <w:rFonts w:ascii="Century Gothic" w:hAnsi="Century Gothic"/>
          <w:bCs/>
          <w:sz w:val="24"/>
          <w:szCs w:val="24"/>
        </w:rPr>
        <w:t xml:space="preserve">(Mn, Zn, Fe e B) </w:t>
      </w:r>
      <w:r w:rsidRPr="00C906B2">
        <w:rPr>
          <w:rFonts w:ascii="Century Gothic" w:hAnsi="Century Gothic"/>
          <w:bCs/>
          <w:sz w:val="24"/>
          <w:szCs w:val="24"/>
        </w:rPr>
        <w:t>da goiabeira Paluma em função da adubação nitrogenada e doses de biofertilizante bovino fornecidos via fertirrigação.</w:t>
      </w:r>
    </w:p>
    <w:tbl>
      <w:tblPr>
        <w:tblW w:w="9603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559"/>
        <w:gridCol w:w="1701"/>
        <w:gridCol w:w="1701"/>
        <w:gridCol w:w="1640"/>
      </w:tblGrid>
      <w:tr w:rsidR="00D64210" w:rsidRPr="00C906B2" w:rsidTr="00D64210">
        <w:trPr>
          <w:trHeight w:val="315"/>
        </w:trPr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Fonte de variação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A162AC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 xml:space="preserve">Mn (mg </w:t>
            </w:r>
            <w:r w:rsidR="00D64210"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kg</w:t>
            </w:r>
            <w:r w:rsidRPr="00A162A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="00D64210"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D64210" w:rsidP="00A162AC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Zn (mgkg</w:t>
            </w:r>
            <w:r w:rsidR="00A162AC" w:rsidRPr="00A162A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A162AC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Fe (mgkg</w:t>
            </w:r>
            <w:r w:rsidR="00A162AC" w:rsidRPr="00A162A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A162AC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B (mgkg</w:t>
            </w:r>
            <w:r w:rsidR="00A162AC" w:rsidRPr="00A162A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Adub. Nitrogenada (N)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0,12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D64210" w:rsidP="00B41B95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0,06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1,09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0,03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77,60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28,73</w:t>
            </w:r>
          </w:p>
        </w:tc>
      </w:tr>
      <w:tr w:rsidR="00D64210" w:rsidRPr="00C906B2" w:rsidTr="00D64210">
        <w:trPr>
          <w:trHeight w:val="315"/>
        </w:trPr>
        <w:tc>
          <w:tcPr>
            <w:tcW w:w="300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10,57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4,03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93,00</w:t>
            </w:r>
          </w:p>
        </w:tc>
        <w:tc>
          <w:tcPr>
            <w:tcW w:w="16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28,23</w:t>
            </w:r>
          </w:p>
        </w:tc>
      </w:tr>
      <w:tr w:rsidR="00D64210" w:rsidRPr="00C906B2" w:rsidTr="00D64210">
        <w:trPr>
          <w:trHeight w:val="315"/>
        </w:trPr>
        <w:tc>
          <w:tcPr>
            <w:tcW w:w="300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lastRenderedPageBreak/>
              <w:t>DMS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4,89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30,39</w:t>
            </w:r>
          </w:p>
        </w:tc>
        <w:tc>
          <w:tcPr>
            <w:tcW w:w="16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5,98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Doses Biofertilizante (B)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1,77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2,02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1,30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0,29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0% (testemunha)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12,05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71,72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30,79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2A49DD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14,32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62,94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30,55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2A49DD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5,0%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109,08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27,15</w:t>
            </w:r>
          </w:p>
        </w:tc>
      </w:tr>
      <w:tr w:rsidR="00D64210" w:rsidRPr="00C906B2" w:rsidTr="00D64210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2A49DD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7,5%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13,36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95,14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27,15</w:t>
            </w:r>
          </w:p>
        </w:tc>
      </w:tr>
      <w:tr w:rsidR="00D64210" w:rsidRPr="00C906B2" w:rsidTr="00D64210">
        <w:trPr>
          <w:trHeight w:val="315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10</w:t>
            </w:r>
            <w:r w:rsidR="002A49D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,0</w:t>
            </w: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84,68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27,80</w:t>
            </w:r>
          </w:p>
        </w:tc>
      </w:tr>
      <w:tr w:rsidR="00D64210" w:rsidRPr="00C906B2" w:rsidTr="00D64210">
        <w:trPr>
          <w:trHeight w:val="315"/>
        </w:trPr>
        <w:tc>
          <w:tcPr>
            <w:tcW w:w="3002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Interação N x B</w:t>
            </w:r>
          </w:p>
        </w:tc>
        <w:tc>
          <w:tcPr>
            <w:tcW w:w="1559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4,19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*</w:t>
            </w:r>
          </w:p>
        </w:tc>
        <w:tc>
          <w:tcPr>
            <w:tcW w:w="1701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1,53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701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1,24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  <w:tc>
          <w:tcPr>
            <w:tcW w:w="1640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0,26</w:t>
            </w:r>
            <w:r w:rsidRPr="00B41B9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t-BR"/>
              </w:rPr>
              <w:t>ns</w:t>
            </w:r>
          </w:p>
        </w:tc>
      </w:tr>
      <w:tr w:rsidR="00D64210" w:rsidRPr="00C906B2" w:rsidTr="00D64210">
        <w:trPr>
          <w:trHeight w:val="315"/>
        </w:trPr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C.V.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64,53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26,45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50,95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4210" w:rsidRPr="00C906B2" w:rsidRDefault="00D64210" w:rsidP="00B614EA">
            <w:pPr>
              <w:spacing w:after="0" w:line="48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</w:pPr>
            <w:r w:rsidRPr="00C906B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t-BR"/>
              </w:rPr>
              <w:t>30,35</w:t>
            </w:r>
          </w:p>
        </w:tc>
      </w:tr>
    </w:tbl>
    <w:p w:rsidR="007219CE" w:rsidRPr="00A162AC" w:rsidRDefault="00BB5E52" w:rsidP="00A162AC">
      <w:pPr>
        <w:spacing w:after="0" w:line="240" w:lineRule="auto"/>
        <w:jc w:val="both"/>
        <w:rPr>
          <w:rFonts w:ascii="Century Gothic" w:hAnsi="Century Gothic"/>
          <w:sz w:val="20"/>
          <w:szCs w:val="24"/>
        </w:rPr>
      </w:pPr>
      <w:r w:rsidRPr="00A162AC">
        <w:rPr>
          <w:rFonts w:ascii="Century Gothic" w:hAnsi="Century Gothic"/>
          <w:sz w:val="20"/>
          <w:szCs w:val="24"/>
        </w:rPr>
        <w:t>DMS = diferença mínima significativa; C</w:t>
      </w:r>
      <w:r w:rsidR="00B41B95">
        <w:rPr>
          <w:rFonts w:ascii="Century Gothic" w:hAnsi="Century Gothic"/>
          <w:sz w:val="20"/>
          <w:szCs w:val="24"/>
        </w:rPr>
        <w:t>.</w:t>
      </w:r>
      <w:r w:rsidRPr="00A162AC">
        <w:rPr>
          <w:rFonts w:ascii="Century Gothic" w:hAnsi="Century Gothic"/>
          <w:sz w:val="20"/>
          <w:szCs w:val="24"/>
        </w:rPr>
        <w:t>V</w:t>
      </w:r>
      <w:r w:rsidR="00B41B95">
        <w:rPr>
          <w:rFonts w:ascii="Century Gothic" w:hAnsi="Century Gothic"/>
          <w:sz w:val="20"/>
          <w:szCs w:val="24"/>
        </w:rPr>
        <w:t>.</w:t>
      </w:r>
      <w:r w:rsidRPr="00A162AC">
        <w:rPr>
          <w:rFonts w:ascii="Century Gothic" w:hAnsi="Century Gothic"/>
          <w:sz w:val="20"/>
          <w:szCs w:val="24"/>
        </w:rPr>
        <w:t xml:space="preserve"> = coeficiente de variação; </w:t>
      </w:r>
      <w:r w:rsidR="00F52B58" w:rsidRPr="002A49DD">
        <w:rPr>
          <w:rFonts w:ascii="Century Gothic" w:hAnsi="Century Gothic"/>
          <w:sz w:val="20"/>
          <w:szCs w:val="24"/>
          <w:vertAlign w:val="superscript"/>
        </w:rPr>
        <w:t>ns</w:t>
      </w:r>
      <w:r w:rsidR="00F52B58" w:rsidRPr="00A162AC">
        <w:rPr>
          <w:rFonts w:ascii="Century Gothic" w:hAnsi="Century Gothic"/>
          <w:sz w:val="20"/>
          <w:szCs w:val="24"/>
        </w:rPr>
        <w:t>: não significativo</w:t>
      </w:r>
      <w:r w:rsidR="00BA7124" w:rsidRPr="00A162AC">
        <w:rPr>
          <w:rFonts w:ascii="Century Gothic" w:hAnsi="Century Gothic"/>
          <w:sz w:val="20"/>
          <w:szCs w:val="24"/>
        </w:rPr>
        <w:t>;</w:t>
      </w:r>
      <w:r w:rsidRPr="002A49DD">
        <w:rPr>
          <w:rFonts w:ascii="Century Gothic" w:hAnsi="Century Gothic"/>
          <w:sz w:val="20"/>
          <w:szCs w:val="24"/>
          <w:vertAlign w:val="superscript"/>
        </w:rPr>
        <w:t>*</w:t>
      </w:r>
      <w:r w:rsidRPr="00A162AC">
        <w:rPr>
          <w:rFonts w:ascii="Century Gothic" w:hAnsi="Century Gothic"/>
          <w:sz w:val="20"/>
          <w:szCs w:val="24"/>
        </w:rPr>
        <w:t xml:space="preserve"> significativo ao nível de 5% de probabilidade</w:t>
      </w:r>
      <w:r w:rsidR="001B73F3" w:rsidRPr="00A162AC">
        <w:rPr>
          <w:rFonts w:ascii="Century Gothic" w:hAnsi="Century Gothic"/>
          <w:sz w:val="20"/>
          <w:szCs w:val="24"/>
        </w:rPr>
        <w:t>.</w:t>
      </w:r>
    </w:p>
    <w:p w:rsidR="00A162AC" w:rsidRDefault="00A162AC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</w:p>
    <w:p w:rsidR="000678C2" w:rsidRPr="00C906B2" w:rsidRDefault="000678C2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014B0B">
        <w:rPr>
          <w:rFonts w:ascii="Century Gothic" w:hAnsi="Century Gothic"/>
          <w:sz w:val="24"/>
          <w:szCs w:val="24"/>
        </w:rPr>
        <w:t xml:space="preserve">Os teores foliares de </w:t>
      </w:r>
      <w:r w:rsidRPr="00C906B2">
        <w:rPr>
          <w:rFonts w:ascii="Century Gothic" w:hAnsi="Century Gothic"/>
          <w:sz w:val="24"/>
          <w:szCs w:val="24"/>
        </w:rPr>
        <w:t>Mn sob adubação com 50% da recomendação de adubação nitrogenada não apresent</w:t>
      </w:r>
      <w:r w:rsidR="00014B0B">
        <w:rPr>
          <w:rFonts w:ascii="Century Gothic" w:hAnsi="Century Gothic"/>
          <w:sz w:val="24"/>
          <w:szCs w:val="24"/>
        </w:rPr>
        <w:t>aram</w:t>
      </w:r>
      <w:r w:rsidRPr="00C906B2">
        <w:rPr>
          <w:rFonts w:ascii="Century Gothic" w:hAnsi="Century Gothic"/>
          <w:sz w:val="24"/>
          <w:szCs w:val="24"/>
        </w:rPr>
        <w:t xml:space="preserve"> ajuste significativo a nenhu</w:t>
      </w:r>
      <w:r w:rsidR="00716972" w:rsidRPr="00C906B2">
        <w:rPr>
          <w:rFonts w:ascii="Century Gothic" w:hAnsi="Century Gothic"/>
          <w:sz w:val="24"/>
          <w:szCs w:val="24"/>
        </w:rPr>
        <w:t>m modelo de regressão</w:t>
      </w:r>
      <w:r w:rsidR="00AF22AC" w:rsidRPr="00C906B2">
        <w:rPr>
          <w:rFonts w:ascii="Century Gothic" w:hAnsi="Century Gothic"/>
          <w:sz w:val="24"/>
          <w:szCs w:val="24"/>
        </w:rPr>
        <w:t xml:space="preserve">, enquanto que </w:t>
      </w:r>
      <w:r w:rsidR="00014B0B">
        <w:rPr>
          <w:rFonts w:ascii="Century Gothic" w:hAnsi="Century Gothic"/>
          <w:sz w:val="24"/>
          <w:szCs w:val="24"/>
        </w:rPr>
        <w:t xml:space="preserve">o Mn </w:t>
      </w:r>
      <w:r w:rsidR="00AF22AC" w:rsidRPr="00C906B2">
        <w:rPr>
          <w:rFonts w:ascii="Century Gothic" w:hAnsi="Century Gothic"/>
          <w:sz w:val="24"/>
          <w:szCs w:val="24"/>
        </w:rPr>
        <w:t>associado</w:t>
      </w:r>
      <w:r w:rsidR="00B7184E">
        <w:rPr>
          <w:rFonts w:ascii="Century Gothic" w:hAnsi="Century Gothic"/>
          <w:sz w:val="24"/>
          <w:szCs w:val="24"/>
        </w:rPr>
        <w:t xml:space="preserve"> </w:t>
      </w:r>
      <w:r w:rsidR="005462CF" w:rsidRPr="00C906B2">
        <w:rPr>
          <w:rFonts w:ascii="Century Gothic" w:hAnsi="Century Gothic"/>
          <w:sz w:val="24"/>
          <w:szCs w:val="24"/>
        </w:rPr>
        <w:t>à</w:t>
      </w:r>
      <w:r w:rsidR="00AF22AC" w:rsidRPr="00C906B2">
        <w:rPr>
          <w:rFonts w:ascii="Century Gothic" w:hAnsi="Century Gothic"/>
          <w:sz w:val="24"/>
          <w:szCs w:val="24"/>
        </w:rPr>
        <w:t xml:space="preserve"> dose de 100% houve ajuste</w:t>
      </w:r>
      <w:r w:rsidRPr="00C906B2">
        <w:rPr>
          <w:rFonts w:ascii="Century Gothic" w:hAnsi="Century Gothic"/>
          <w:sz w:val="24"/>
          <w:szCs w:val="24"/>
        </w:rPr>
        <w:t xml:space="preserve"> ao </w:t>
      </w:r>
      <w:r w:rsidR="00B766DE" w:rsidRPr="00C906B2">
        <w:rPr>
          <w:rFonts w:ascii="Century Gothic" w:hAnsi="Century Gothic"/>
          <w:sz w:val="24"/>
          <w:szCs w:val="24"/>
        </w:rPr>
        <w:t xml:space="preserve">modelo </w:t>
      </w:r>
      <w:r w:rsidR="003C1CCE" w:rsidRPr="00C906B2">
        <w:rPr>
          <w:rFonts w:ascii="Century Gothic" w:hAnsi="Century Gothic"/>
          <w:sz w:val="24"/>
          <w:szCs w:val="24"/>
        </w:rPr>
        <w:t>quadrático</w:t>
      </w:r>
      <w:r w:rsidR="00B2730D" w:rsidRPr="00C906B2">
        <w:rPr>
          <w:rFonts w:ascii="Century Gothic" w:hAnsi="Century Gothic"/>
          <w:sz w:val="24"/>
          <w:szCs w:val="24"/>
        </w:rPr>
        <w:t xml:space="preserve"> (Figura 1)</w:t>
      </w:r>
      <w:r w:rsidRPr="00C906B2">
        <w:rPr>
          <w:rFonts w:ascii="Century Gothic" w:hAnsi="Century Gothic"/>
          <w:sz w:val="24"/>
          <w:szCs w:val="24"/>
        </w:rPr>
        <w:t>.</w:t>
      </w:r>
    </w:p>
    <w:p w:rsidR="00F167FA" w:rsidRPr="00C906B2" w:rsidRDefault="00E73CCC" w:rsidP="00E73CCC">
      <w:pPr>
        <w:spacing w:after="0" w:line="480" w:lineRule="auto"/>
        <w:jc w:val="center"/>
        <w:rPr>
          <w:rFonts w:ascii="Century Gothic" w:hAnsi="Century Gothic"/>
          <w:sz w:val="24"/>
          <w:szCs w:val="24"/>
        </w:rPr>
      </w:pPr>
      <w:r>
        <w:object w:dxaOrig="6500" w:dyaOrig="5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95pt;height:252.95pt" o:ole="">
            <v:imagedata r:id="rId8" o:title=""/>
          </v:shape>
          <o:OLEObject Type="Embed" ProgID="SigmaPlotGraphicObject.9" ShapeID="_x0000_i1025" DrawAspect="Content" ObjectID="_1543999567" r:id="rId9"/>
        </w:object>
      </w:r>
    </w:p>
    <w:p w:rsidR="000A6FA9" w:rsidRDefault="000A6FA9" w:rsidP="000A6FA9">
      <w:pPr>
        <w:spacing w:after="0" w:line="480" w:lineRule="auto"/>
        <w:jc w:val="both"/>
        <w:rPr>
          <w:rFonts w:ascii="Century Gothic" w:hAnsi="Century Gothic"/>
          <w:bCs/>
          <w:sz w:val="24"/>
          <w:szCs w:val="24"/>
          <w:lang w:val="pt-PT"/>
        </w:rPr>
      </w:pPr>
      <w:bookmarkStart w:id="2" w:name="_Toc456599759"/>
      <w:r w:rsidRPr="00C906B2">
        <w:rPr>
          <w:rFonts w:ascii="Century Gothic" w:hAnsi="Century Gothic"/>
          <w:b/>
          <w:bCs/>
          <w:sz w:val="24"/>
          <w:szCs w:val="24"/>
        </w:rPr>
        <w:t>Figura 1</w:t>
      </w:r>
      <w:r w:rsidR="00F84CEB">
        <w:rPr>
          <w:rFonts w:ascii="Century Gothic" w:hAnsi="Century Gothic"/>
          <w:bCs/>
          <w:sz w:val="24"/>
          <w:szCs w:val="24"/>
        </w:rPr>
        <w:t>.</w:t>
      </w:r>
      <w:r w:rsidR="00E73CCC">
        <w:rPr>
          <w:rFonts w:ascii="Century Gothic" w:hAnsi="Century Gothic"/>
          <w:bCs/>
          <w:sz w:val="24"/>
          <w:szCs w:val="24"/>
        </w:rPr>
        <w:t xml:space="preserve"> </w:t>
      </w:r>
      <w:r w:rsidR="00014B0B">
        <w:rPr>
          <w:rFonts w:ascii="Century Gothic" w:hAnsi="Century Gothic"/>
          <w:bCs/>
          <w:sz w:val="24"/>
          <w:szCs w:val="24"/>
        </w:rPr>
        <w:t xml:space="preserve">Teores </w:t>
      </w:r>
      <w:r w:rsidRPr="00C906B2">
        <w:rPr>
          <w:rFonts w:ascii="Century Gothic" w:hAnsi="Century Gothic"/>
          <w:bCs/>
          <w:sz w:val="24"/>
          <w:szCs w:val="24"/>
        </w:rPr>
        <w:t xml:space="preserve">foliares de manganês </w:t>
      </w:r>
      <w:r w:rsidRPr="00C906B2">
        <w:rPr>
          <w:rFonts w:ascii="Century Gothic" w:hAnsi="Century Gothic"/>
          <w:bCs/>
          <w:sz w:val="24"/>
          <w:szCs w:val="24"/>
          <w:lang w:val="pt-PT"/>
        </w:rPr>
        <w:t>na goiabeira em função de biofertilizante e fertilizante N (100% da recomendação de N da cultura).</w:t>
      </w:r>
      <w:bookmarkEnd w:id="2"/>
    </w:p>
    <w:p w:rsidR="008F0762" w:rsidRPr="00C906B2" w:rsidRDefault="008F0762" w:rsidP="000A6FA9">
      <w:pPr>
        <w:spacing w:after="0" w:line="480" w:lineRule="auto"/>
        <w:jc w:val="both"/>
        <w:rPr>
          <w:rFonts w:ascii="Century Gothic" w:hAnsi="Century Gothic"/>
          <w:bCs/>
          <w:sz w:val="24"/>
          <w:szCs w:val="24"/>
          <w:lang w:val="pt-PT"/>
        </w:rPr>
      </w:pPr>
    </w:p>
    <w:p w:rsidR="004710F8" w:rsidRPr="00C906B2" w:rsidRDefault="00F167FA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D95169" w:rsidRPr="00C906B2">
        <w:rPr>
          <w:rFonts w:ascii="Century Gothic" w:hAnsi="Century Gothic"/>
          <w:sz w:val="24"/>
          <w:szCs w:val="24"/>
        </w:rPr>
        <w:t xml:space="preserve">De acordo com </w:t>
      </w:r>
      <w:r w:rsidR="00D95169" w:rsidRPr="00C62BC9">
        <w:rPr>
          <w:rFonts w:ascii="Century Gothic" w:hAnsi="Century Gothic"/>
          <w:sz w:val="24"/>
          <w:szCs w:val="24"/>
        </w:rPr>
        <w:t>Natale</w:t>
      </w:r>
      <w:r w:rsidR="002D43EE">
        <w:rPr>
          <w:rFonts w:ascii="Century Gothic" w:hAnsi="Century Gothic"/>
          <w:sz w:val="24"/>
          <w:szCs w:val="24"/>
        </w:rPr>
        <w:t xml:space="preserve"> </w:t>
      </w:r>
      <w:r w:rsidR="005B0D1E" w:rsidRPr="00C62BC9">
        <w:rPr>
          <w:rFonts w:ascii="Century Gothic" w:hAnsi="Century Gothic"/>
          <w:sz w:val="24"/>
          <w:szCs w:val="24"/>
        </w:rPr>
        <w:t>et al. (2002</w:t>
      </w:r>
      <w:r w:rsidR="00D95169" w:rsidRPr="00C62BC9">
        <w:rPr>
          <w:rFonts w:ascii="Century Gothic" w:hAnsi="Century Gothic"/>
          <w:sz w:val="24"/>
          <w:szCs w:val="24"/>
        </w:rPr>
        <w:t>),</w:t>
      </w:r>
      <w:r w:rsidR="00D95169" w:rsidRPr="00C906B2">
        <w:rPr>
          <w:rFonts w:ascii="Century Gothic" w:hAnsi="Century Gothic"/>
          <w:sz w:val="24"/>
          <w:szCs w:val="24"/>
        </w:rPr>
        <w:t xml:space="preserve"> a extração de </w:t>
      </w:r>
      <w:r w:rsidR="00B766DE" w:rsidRPr="00C906B2">
        <w:rPr>
          <w:rFonts w:ascii="Century Gothic" w:hAnsi="Century Gothic"/>
          <w:sz w:val="24"/>
          <w:szCs w:val="24"/>
        </w:rPr>
        <w:t>micro</w:t>
      </w:r>
      <w:r w:rsidR="00D95169" w:rsidRPr="00C906B2">
        <w:rPr>
          <w:rFonts w:ascii="Century Gothic" w:hAnsi="Century Gothic"/>
          <w:sz w:val="24"/>
          <w:szCs w:val="24"/>
        </w:rPr>
        <w:t>nutrientes pela cultivar Paluma,</w:t>
      </w:r>
      <w:r w:rsidR="001D220F">
        <w:rPr>
          <w:rFonts w:ascii="Century Gothic" w:hAnsi="Century Gothic"/>
          <w:sz w:val="24"/>
          <w:szCs w:val="24"/>
        </w:rPr>
        <w:t xml:space="preserve"> </w:t>
      </w:r>
      <w:r w:rsidR="00B766DE" w:rsidRPr="00C906B2">
        <w:rPr>
          <w:rFonts w:ascii="Century Gothic" w:hAnsi="Century Gothic"/>
          <w:sz w:val="24"/>
          <w:szCs w:val="24"/>
        </w:rPr>
        <w:t xml:space="preserve">ocorre em ordem </w:t>
      </w:r>
      <w:r w:rsidR="00D95169" w:rsidRPr="00C906B2">
        <w:rPr>
          <w:rFonts w:ascii="Century Gothic" w:hAnsi="Century Gothic"/>
          <w:sz w:val="24"/>
          <w:szCs w:val="24"/>
        </w:rPr>
        <w:t>crescente: B, Cu, Zn, Fe e Mn. Os mesmos autores determinaram o conteúdo</w:t>
      </w:r>
      <w:r w:rsidR="00821AD4" w:rsidRPr="00C906B2">
        <w:rPr>
          <w:rFonts w:ascii="Century Gothic" w:hAnsi="Century Gothic"/>
          <w:sz w:val="24"/>
          <w:szCs w:val="24"/>
        </w:rPr>
        <w:t xml:space="preserve"> (mg kg</w:t>
      </w:r>
      <w:r w:rsidR="00821AD4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821AD4" w:rsidRPr="00C906B2">
        <w:rPr>
          <w:rFonts w:ascii="Century Gothic" w:hAnsi="Century Gothic"/>
          <w:sz w:val="24"/>
          <w:szCs w:val="24"/>
        </w:rPr>
        <w:t>)</w:t>
      </w:r>
      <w:r w:rsidR="00D95169" w:rsidRPr="00C906B2">
        <w:rPr>
          <w:rFonts w:ascii="Century Gothic" w:hAnsi="Century Gothic"/>
          <w:sz w:val="24"/>
          <w:szCs w:val="24"/>
        </w:rPr>
        <w:t xml:space="preserve"> adequado de micronutrientes foliar em goiab</w:t>
      </w:r>
      <w:r w:rsidR="00DD32B8">
        <w:rPr>
          <w:rFonts w:ascii="Century Gothic" w:hAnsi="Century Gothic"/>
          <w:sz w:val="24"/>
          <w:szCs w:val="24"/>
        </w:rPr>
        <w:t>eir</w:t>
      </w:r>
      <w:r w:rsidR="00D95169" w:rsidRPr="00C906B2">
        <w:rPr>
          <w:rFonts w:ascii="Century Gothic" w:hAnsi="Century Gothic"/>
          <w:sz w:val="24"/>
          <w:szCs w:val="24"/>
        </w:rPr>
        <w:t xml:space="preserve">as após terceiro ciclo, </w:t>
      </w:r>
      <w:r w:rsidR="00821AD4" w:rsidRPr="00C906B2">
        <w:rPr>
          <w:rFonts w:ascii="Century Gothic" w:hAnsi="Century Gothic"/>
          <w:sz w:val="24"/>
          <w:szCs w:val="24"/>
        </w:rPr>
        <w:t xml:space="preserve">B (20-25), Cu (20-40), </w:t>
      </w:r>
      <w:r w:rsidR="006E036F" w:rsidRPr="00C906B2">
        <w:rPr>
          <w:rFonts w:ascii="Century Gothic" w:hAnsi="Century Gothic"/>
          <w:sz w:val="24"/>
          <w:szCs w:val="24"/>
        </w:rPr>
        <w:t>Zn (25-35), Fe (60-90) e</w:t>
      </w:r>
      <w:r w:rsidR="00821AD4" w:rsidRPr="00C906B2">
        <w:rPr>
          <w:rFonts w:ascii="Century Gothic" w:hAnsi="Century Gothic"/>
          <w:sz w:val="24"/>
          <w:szCs w:val="24"/>
        </w:rPr>
        <w:t xml:space="preserve"> Mn (40-80)</w:t>
      </w:r>
      <w:r w:rsidR="006E036F" w:rsidRPr="00C906B2">
        <w:rPr>
          <w:rFonts w:ascii="Century Gothic" w:hAnsi="Century Gothic"/>
          <w:sz w:val="24"/>
          <w:szCs w:val="24"/>
        </w:rPr>
        <w:t>.</w:t>
      </w:r>
    </w:p>
    <w:p w:rsidR="00A22B69" w:rsidRPr="00C906B2" w:rsidRDefault="004710F8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  <w:r w:rsidR="00DD32B8">
        <w:rPr>
          <w:rFonts w:ascii="Century Gothic" w:hAnsi="Century Gothic"/>
          <w:sz w:val="24"/>
          <w:szCs w:val="24"/>
        </w:rPr>
        <w:t>As se considerar a faixa de suficiência definida por Natale et al. (2002)</w:t>
      </w:r>
      <w:r w:rsidR="00821AD4" w:rsidRPr="00C906B2">
        <w:rPr>
          <w:rFonts w:ascii="Century Gothic" w:hAnsi="Century Gothic"/>
          <w:sz w:val="24"/>
          <w:szCs w:val="24"/>
        </w:rPr>
        <w:t xml:space="preserve">, todos os tratamentos </w:t>
      </w:r>
      <w:r w:rsidR="00DD32B8">
        <w:rPr>
          <w:rFonts w:ascii="Century Gothic" w:hAnsi="Century Gothic"/>
          <w:sz w:val="24"/>
          <w:szCs w:val="24"/>
        </w:rPr>
        <w:t xml:space="preserve">encontraram-se </w:t>
      </w:r>
      <w:r w:rsidR="009806D2">
        <w:rPr>
          <w:rFonts w:ascii="Century Gothic" w:hAnsi="Century Gothic"/>
          <w:sz w:val="24"/>
          <w:szCs w:val="24"/>
        </w:rPr>
        <w:t>acima da faixa su</w:t>
      </w:r>
      <w:r w:rsidR="00821AD4" w:rsidRPr="00C906B2">
        <w:rPr>
          <w:rFonts w:ascii="Century Gothic" w:hAnsi="Century Gothic"/>
          <w:sz w:val="24"/>
          <w:szCs w:val="24"/>
        </w:rPr>
        <w:t>ficiente</w:t>
      </w:r>
      <w:r w:rsidR="002D43EE">
        <w:rPr>
          <w:rFonts w:ascii="Century Gothic" w:hAnsi="Century Gothic"/>
          <w:sz w:val="24"/>
          <w:szCs w:val="24"/>
        </w:rPr>
        <w:t xml:space="preserve"> </w:t>
      </w:r>
      <w:r w:rsidR="009806D2">
        <w:rPr>
          <w:rFonts w:ascii="Century Gothic" w:hAnsi="Century Gothic"/>
          <w:sz w:val="24"/>
          <w:szCs w:val="24"/>
        </w:rPr>
        <w:t xml:space="preserve">para </w:t>
      </w:r>
      <w:r w:rsidR="002324D3">
        <w:rPr>
          <w:rFonts w:ascii="Century Gothic" w:hAnsi="Century Gothic"/>
          <w:sz w:val="24"/>
          <w:szCs w:val="24"/>
        </w:rPr>
        <w:t xml:space="preserve">B e Fe, porém </w:t>
      </w:r>
      <w:r w:rsidR="009806D2">
        <w:rPr>
          <w:rFonts w:ascii="Century Gothic" w:hAnsi="Century Gothic"/>
          <w:sz w:val="24"/>
          <w:szCs w:val="24"/>
        </w:rPr>
        <w:t xml:space="preserve">deficientes em </w:t>
      </w:r>
      <w:r w:rsidR="00DD32B8">
        <w:rPr>
          <w:rFonts w:ascii="Century Gothic" w:hAnsi="Century Gothic"/>
          <w:sz w:val="24"/>
          <w:szCs w:val="24"/>
        </w:rPr>
        <w:t>Zn e Mn, r</w:t>
      </w:r>
      <w:r w:rsidRPr="00C906B2">
        <w:rPr>
          <w:rFonts w:ascii="Century Gothic" w:hAnsi="Century Gothic"/>
          <w:sz w:val="24"/>
          <w:szCs w:val="24"/>
        </w:rPr>
        <w:t>esultados que</w:t>
      </w:r>
      <w:r w:rsidR="00DD32B8">
        <w:rPr>
          <w:rFonts w:ascii="Century Gothic" w:hAnsi="Century Gothic"/>
          <w:sz w:val="24"/>
          <w:szCs w:val="24"/>
        </w:rPr>
        <w:t xml:space="preserve"> concordam</w:t>
      </w:r>
      <w:r w:rsidRPr="00C906B2">
        <w:rPr>
          <w:rFonts w:ascii="Century Gothic" w:hAnsi="Century Gothic"/>
          <w:sz w:val="24"/>
          <w:szCs w:val="24"/>
        </w:rPr>
        <w:t xml:space="preserve"> com os </w:t>
      </w:r>
      <w:r w:rsidRPr="00C62BC9">
        <w:rPr>
          <w:rFonts w:ascii="Century Gothic" w:hAnsi="Century Gothic"/>
          <w:sz w:val="24"/>
          <w:szCs w:val="24"/>
        </w:rPr>
        <w:t>de Cavalcante et al. (2008</w:t>
      </w:r>
      <w:r w:rsidR="002B35B2">
        <w:rPr>
          <w:rFonts w:ascii="Century Gothic" w:hAnsi="Century Gothic"/>
          <w:sz w:val="24"/>
          <w:szCs w:val="24"/>
        </w:rPr>
        <w:t>a</w:t>
      </w:r>
      <w:r w:rsidRPr="00C62BC9">
        <w:rPr>
          <w:rFonts w:ascii="Century Gothic" w:hAnsi="Century Gothic"/>
          <w:sz w:val="24"/>
          <w:szCs w:val="24"/>
        </w:rPr>
        <w:t>),</w:t>
      </w:r>
      <w:r w:rsidRPr="00C906B2">
        <w:rPr>
          <w:rFonts w:ascii="Century Gothic" w:hAnsi="Century Gothic"/>
          <w:sz w:val="24"/>
          <w:szCs w:val="24"/>
        </w:rPr>
        <w:t xml:space="preserve"> que </w:t>
      </w:r>
      <w:r w:rsidR="00A22B69" w:rsidRPr="00C906B2">
        <w:rPr>
          <w:rFonts w:ascii="Century Gothic" w:hAnsi="Century Gothic"/>
          <w:sz w:val="24"/>
          <w:szCs w:val="24"/>
        </w:rPr>
        <w:t xml:space="preserve">verificaram para o maracujá </w:t>
      </w:r>
      <w:r w:rsidRPr="00C906B2">
        <w:rPr>
          <w:rFonts w:ascii="Century Gothic" w:hAnsi="Century Gothic"/>
          <w:sz w:val="24"/>
          <w:szCs w:val="24"/>
        </w:rPr>
        <w:t xml:space="preserve">um </w:t>
      </w:r>
      <w:r w:rsidR="00A22B69" w:rsidRPr="00C906B2">
        <w:rPr>
          <w:rFonts w:ascii="Century Gothic" w:hAnsi="Century Gothic"/>
          <w:sz w:val="24"/>
          <w:szCs w:val="24"/>
        </w:rPr>
        <w:t>efeito pos</w:t>
      </w:r>
      <w:r w:rsidR="00CE4674" w:rsidRPr="00C906B2">
        <w:rPr>
          <w:rFonts w:ascii="Century Gothic" w:hAnsi="Century Gothic"/>
          <w:sz w:val="24"/>
          <w:szCs w:val="24"/>
        </w:rPr>
        <w:t>itivo do uso de biofertilizante</w:t>
      </w:r>
      <w:r w:rsidRPr="00C906B2">
        <w:rPr>
          <w:rFonts w:ascii="Century Gothic" w:hAnsi="Century Gothic"/>
          <w:sz w:val="24"/>
          <w:szCs w:val="24"/>
        </w:rPr>
        <w:t xml:space="preserve"> simples</w:t>
      </w:r>
      <w:r w:rsidR="00627FFC" w:rsidRPr="00C906B2">
        <w:rPr>
          <w:rFonts w:ascii="Century Gothic" w:hAnsi="Century Gothic"/>
          <w:sz w:val="24"/>
          <w:szCs w:val="24"/>
        </w:rPr>
        <w:t xml:space="preserve"> apenas</w:t>
      </w:r>
      <w:r w:rsidR="002D43EE">
        <w:rPr>
          <w:rFonts w:ascii="Century Gothic" w:hAnsi="Century Gothic"/>
          <w:sz w:val="24"/>
          <w:szCs w:val="24"/>
        </w:rPr>
        <w:t xml:space="preserve"> </w:t>
      </w:r>
      <w:r w:rsidR="00172EA7" w:rsidRPr="00C906B2">
        <w:rPr>
          <w:rFonts w:ascii="Century Gothic" w:hAnsi="Century Gothic"/>
          <w:sz w:val="24"/>
          <w:szCs w:val="24"/>
        </w:rPr>
        <w:t xml:space="preserve">nos teores de B, </w:t>
      </w:r>
      <w:r w:rsidRPr="00C906B2">
        <w:rPr>
          <w:rFonts w:ascii="Century Gothic" w:hAnsi="Century Gothic"/>
          <w:sz w:val="24"/>
          <w:szCs w:val="24"/>
        </w:rPr>
        <w:t>Fe</w:t>
      </w:r>
      <w:r w:rsidR="00172EA7" w:rsidRPr="00C906B2">
        <w:rPr>
          <w:rFonts w:ascii="Century Gothic" w:hAnsi="Century Gothic"/>
          <w:sz w:val="24"/>
          <w:szCs w:val="24"/>
        </w:rPr>
        <w:t xml:space="preserve"> e Cu</w:t>
      </w:r>
      <w:r w:rsidRPr="00C906B2">
        <w:rPr>
          <w:rFonts w:ascii="Century Gothic" w:hAnsi="Century Gothic"/>
          <w:sz w:val="24"/>
          <w:szCs w:val="24"/>
        </w:rPr>
        <w:t>, indicando dessa forma a necessidade de suplementação ao biofert</w:t>
      </w:r>
      <w:r w:rsidR="00172EA7" w:rsidRPr="00C906B2">
        <w:rPr>
          <w:rFonts w:ascii="Century Gothic" w:hAnsi="Century Gothic"/>
          <w:sz w:val="24"/>
          <w:szCs w:val="24"/>
        </w:rPr>
        <w:t>i</w:t>
      </w:r>
      <w:r w:rsidRPr="00C906B2">
        <w:rPr>
          <w:rFonts w:ascii="Century Gothic" w:hAnsi="Century Gothic"/>
          <w:sz w:val="24"/>
          <w:szCs w:val="24"/>
        </w:rPr>
        <w:t>lizante</w:t>
      </w:r>
      <w:r w:rsidR="00172EA7" w:rsidRPr="00C906B2">
        <w:rPr>
          <w:rFonts w:ascii="Century Gothic" w:hAnsi="Century Gothic"/>
          <w:sz w:val="24"/>
          <w:szCs w:val="24"/>
        </w:rPr>
        <w:t xml:space="preserve"> para </w:t>
      </w:r>
      <w:r w:rsidR="00DD32B8">
        <w:rPr>
          <w:rFonts w:ascii="Century Gothic" w:hAnsi="Century Gothic"/>
          <w:sz w:val="24"/>
          <w:szCs w:val="24"/>
        </w:rPr>
        <w:t xml:space="preserve">que se obtenha </w:t>
      </w:r>
      <w:r w:rsidR="00172EA7" w:rsidRPr="00C906B2">
        <w:rPr>
          <w:rFonts w:ascii="Century Gothic" w:hAnsi="Century Gothic"/>
          <w:sz w:val="24"/>
          <w:szCs w:val="24"/>
        </w:rPr>
        <w:t xml:space="preserve">fornecimentos </w:t>
      </w:r>
      <w:r w:rsidR="00DD32B8" w:rsidRPr="00C906B2">
        <w:rPr>
          <w:rFonts w:ascii="Century Gothic" w:hAnsi="Century Gothic"/>
          <w:sz w:val="24"/>
          <w:szCs w:val="24"/>
        </w:rPr>
        <w:t>adequado</w:t>
      </w:r>
      <w:r w:rsidR="00DD32B8">
        <w:rPr>
          <w:rFonts w:ascii="Century Gothic" w:hAnsi="Century Gothic"/>
          <w:sz w:val="24"/>
          <w:szCs w:val="24"/>
        </w:rPr>
        <w:t>s</w:t>
      </w:r>
      <w:r w:rsidR="002D43EE">
        <w:rPr>
          <w:rFonts w:ascii="Century Gothic" w:hAnsi="Century Gothic"/>
          <w:sz w:val="24"/>
          <w:szCs w:val="24"/>
        </w:rPr>
        <w:t xml:space="preserve"> </w:t>
      </w:r>
      <w:r w:rsidR="00172EA7" w:rsidRPr="00C906B2">
        <w:rPr>
          <w:rFonts w:ascii="Century Gothic" w:hAnsi="Century Gothic"/>
          <w:sz w:val="24"/>
          <w:szCs w:val="24"/>
        </w:rPr>
        <w:t>desses</w:t>
      </w:r>
      <w:r w:rsidR="003C1CCE" w:rsidRPr="00C906B2">
        <w:rPr>
          <w:rFonts w:ascii="Century Gothic" w:hAnsi="Century Gothic"/>
          <w:sz w:val="24"/>
          <w:szCs w:val="24"/>
        </w:rPr>
        <w:t xml:space="preserve"> micronutrientes</w:t>
      </w:r>
      <w:r w:rsidRPr="00C906B2">
        <w:rPr>
          <w:rFonts w:ascii="Century Gothic" w:hAnsi="Century Gothic"/>
          <w:sz w:val="24"/>
          <w:szCs w:val="24"/>
        </w:rPr>
        <w:t>.</w:t>
      </w:r>
      <w:r w:rsidR="009806D2">
        <w:rPr>
          <w:rFonts w:ascii="Century Gothic" w:hAnsi="Century Gothic"/>
          <w:sz w:val="24"/>
          <w:szCs w:val="24"/>
        </w:rPr>
        <w:t xml:space="preserve"> Apesar dos elevados teores de B e Fe registrados no trabalho, não se verificaram sintomas visuais de toxidez.</w:t>
      </w:r>
    </w:p>
    <w:p w:rsidR="009C4C9F" w:rsidRPr="00C906B2" w:rsidRDefault="00C62BC9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903E34">
        <w:rPr>
          <w:rFonts w:ascii="Century Gothic" w:hAnsi="Century Gothic"/>
          <w:sz w:val="24"/>
          <w:szCs w:val="24"/>
        </w:rPr>
        <w:t xml:space="preserve">Apesar da pequena concentração de </w:t>
      </w:r>
      <w:r>
        <w:rPr>
          <w:rFonts w:ascii="Century Gothic" w:hAnsi="Century Gothic"/>
          <w:sz w:val="24"/>
          <w:szCs w:val="24"/>
        </w:rPr>
        <w:t xml:space="preserve">Mn </w:t>
      </w:r>
      <w:r w:rsidR="00903E34">
        <w:rPr>
          <w:rFonts w:ascii="Century Gothic" w:hAnsi="Century Gothic"/>
          <w:sz w:val="24"/>
          <w:szCs w:val="24"/>
        </w:rPr>
        <w:t xml:space="preserve">do biofertilizante bovino fornecido às plantas </w:t>
      </w:r>
      <w:r w:rsidR="00C345DE" w:rsidRPr="00C906B2">
        <w:rPr>
          <w:rFonts w:ascii="Century Gothic" w:hAnsi="Century Gothic"/>
          <w:sz w:val="24"/>
          <w:szCs w:val="24"/>
        </w:rPr>
        <w:t>(10 mg L</w:t>
      </w:r>
      <w:r w:rsidR="00C345D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C345DE" w:rsidRPr="00C906B2">
        <w:rPr>
          <w:rFonts w:ascii="Century Gothic" w:hAnsi="Century Gothic"/>
          <w:sz w:val="24"/>
          <w:szCs w:val="24"/>
        </w:rPr>
        <w:t xml:space="preserve">), </w:t>
      </w:r>
      <w:r w:rsidR="009C4C9F" w:rsidRPr="00C906B2">
        <w:rPr>
          <w:rFonts w:ascii="Century Gothic" w:hAnsi="Century Gothic"/>
          <w:sz w:val="24"/>
          <w:szCs w:val="24"/>
        </w:rPr>
        <w:t>o</w:t>
      </w:r>
      <w:r w:rsidR="002324D3">
        <w:rPr>
          <w:rFonts w:ascii="Century Gothic" w:hAnsi="Century Gothic"/>
          <w:sz w:val="24"/>
          <w:szCs w:val="24"/>
        </w:rPr>
        <w:t xml:space="preserve"> máximo</w:t>
      </w:r>
      <w:r w:rsidR="00C91789" w:rsidRPr="00C906B2">
        <w:rPr>
          <w:rFonts w:ascii="Century Gothic" w:hAnsi="Century Gothic"/>
          <w:sz w:val="24"/>
          <w:szCs w:val="24"/>
        </w:rPr>
        <w:t xml:space="preserve"> acúmulo do micronutriente </w:t>
      </w:r>
      <w:r w:rsidR="00903E34">
        <w:rPr>
          <w:rFonts w:ascii="Century Gothic" w:hAnsi="Century Gothic"/>
          <w:sz w:val="24"/>
          <w:szCs w:val="24"/>
        </w:rPr>
        <w:t xml:space="preserve">nas plantas </w:t>
      </w:r>
      <w:r w:rsidR="00C91789" w:rsidRPr="00C906B2">
        <w:rPr>
          <w:rFonts w:ascii="Century Gothic" w:hAnsi="Century Gothic"/>
          <w:sz w:val="24"/>
          <w:szCs w:val="24"/>
        </w:rPr>
        <w:t>não ocorreu para a maior dose</w:t>
      </w:r>
      <w:r w:rsidR="00903E34">
        <w:rPr>
          <w:rFonts w:ascii="Century Gothic" w:hAnsi="Century Gothic"/>
          <w:sz w:val="24"/>
          <w:szCs w:val="24"/>
        </w:rPr>
        <w:t xml:space="preserve"> do insumo aplicada</w:t>
      </w:r>
      <w:r w:rsidR="00C91789" w:rsidRPr="00C906B2">
        <w:rPr>
          <w:rFonts w:ascii="Century Gothic" w:hAnsi="Century Gothic"/>
          <w:sz w:val="24"/>
          <w:szCs w:val="24"/>
        </w:rPr>
        <w:t xml:space="preserve">, indicando que </w:t>
      </w:r>
      <w:r w:rsidR="009C4C9F" w:rsidRPr="00C906B2">
        <w:rPr>
          <w:rFonts w:ascii="Century Gothic" w:hAnsi="Century Gothic"/>
          <w:sz w:val="24"/>
          <w:szCs w:val="24"/>
        </w:rPr>
        <w:t>além da quantidade reduzida, h</w:t>
      </w:r>
      <w:r w:rsidR="00CE4674" w:rsidRPr="00C906B2">
        <w:rPr>
          <w:rFonts w:ascii="Century Gothic" w:hAnsi="Century Gothic"/>
          <w:sz w:val="24"/>
          <w:szCs w:val="24"/>
        </w:rPr>
        <w:t>ouve</w:t>
      </w:r>
      <w:r w:rsidR="009C4C9F" w:rsidRPr="00C906B2">
        <w:rPr>
          <w:rFonts w:ascii="Century Gothic" w:hAnsi="Century Gothic"/>
          <w:sz w:val="24"/>
          <w:szCs w:val="24"/>
        </w:rPr>
        <w:t xml:space="preserve"> dificuldade na </w:t>
      </w:r>
      <w:r w:rsidR="00C91789" w:rsidRPr="00C906B2">
        <w:rPr>
          <w:rFonts w:ascii="Century Gothic" w:hAnsi="Century Gothic"/>
          <w:sz w:val="24"/>
          <w:szCs w:val="24"/>
        </w:rPr>
        <w:t xml:space="preserve">sua absorção </w:t>
      </w:r>
      <w:r w:rsidR="009C4C9F" w:rsidRPr="00C906B2">
        <w:rPr>
          <w:rFonts w:ascii="Century Gothic" w:hAnsi="Century Gothic"/>
          <w:sz w:val="24"/>
          <w:szCs w:val="24"/>
        </w:rPr>
        <w:t>pela planta.</w:t>
      </w:r>
    </w:p>
    <w:p w:rsidR="00DD661E" w:rsidRDefault="0076416D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Em relação ao </w:t>
      </w:r>
      <w:r w:rsidR="00E619D8" w:rsidRPr="00C906B2">
        <w:rPr>
          <w:rFonts w:ascii="Century Gothic" w:hAnsi="Century Gothic"/>
          <w:sz w:val="24"/>
          <w:szCs w:val="24"/>
        </w:rPr>
        <w:t>efeito</w:t>
      </w:r>
      <w:r>
        <w:rPr>
          <w:rFonts w:ascii="Century Gothic" w:hAnsi="Century Gothic"/>
          <w:sz w:val="24"/>
          <w:szCs w:val="24"/>
        </w:rPr>
        <w:t xml:space="preserve"> não significat</w:t>
      </w:r>
      <w:r w:rsidR="00903E34">
        <w:rPr>
          <w:rFonts w:ascii="Century Gothic" w:hAnsi="Century Gothic"/>
          <w:sz w:val="24"/>
          <w:szCs w:val="24"/>
        </w:rPr>
        <w:t>ivo</w:t>
      </w:r>
      <w:r w:rsidR="00E619D8" w:rsidRPr="00C906B2">
        <w:rPr>
          <w:rFonts w:ascii="Century Gothic" w:hAnsi="Century Gothic"/>
          <w:sz w:val="24"/>
          <w:szCs w:val="24"/>
        </w:rPr>
        <w:t xml:space="preserve"> das doses de nitrogênio estudadas, </w:t>
      </w:r>
      <w:r w:rsidR="00DD661E" w:rsidRPr="00C62BC9">
        <w:rPr>
          <w:rFonts w:ascii="Century Gothic" w:hAnsi="Century Gothic"/>
          <w:sz w:val="24"/>
          <w:szCs w:val="24"/>
        </w:rPr>
        <w:t>Cavalcante et al. (2008</w:t>
      </w:r>
      <w:r w:rsidR="002B35B2">
        <w:rPr>
          <w:rFonts w:ascii="Century Gothic" w:hAnsi="Century Gothic"/>
          <w:sz w:val="24"/>
          <w:szCs w:val="24"/>
        </w:rPr>
        <w:t>b</w:t>
      </w:r>
      <w:r w:rsidR="00DD661E" w:rsidRPr="00C62BC9">
        <w:rPr>
          <w:rFonts w:ascii="Century Gothic" w:hAnsi="Century Gothic"/>
          <w:sz w:val="24"/>
          <w:szCs w:val="24"/>
        </w:rPr>
        <w:t>),</w:t>
      </w:r>
      <w:r w:rsidR="00DD661E" w:rsidRPr="00C906B2">
        <w:rPr>
          <w:rFonts w:ascii="Century Gothic" w:hAnsi="Century Gothic"/>
          <w:sz w:val="24"/>
          <w:szCs w:val="24"/>
        </w:rPr>
        <w:t xml:space="preserve"> estudando a composição mineral de f</w:t>
      </w:r>
      <w:r w:rsidR="00E619D8" w:rsidRPr="00C906B2">
        <w:rPr>
          <w:rFonts w:ascii="Century Gothic" w:hAnsi="Century Gothic"/>
          <w:sz w:val="24"/>
          <w:szCs w:val="24"/>
        </w:rPr>
        <w:t>ol</w:t>
      </w:r>
      <w:r w:rsidR="00DD661E" w:rsidRPr="00C906B2">
        <w:rPr>
          <w:rFonts w:ascii="Century Gothic" w:hAnsi="Century Gothic"/>
          <w:sz w:val="24"/>
          <w:szCs w:val="24"/>
        </w:rPr>
        <w:t>has de goi</w:t>
      </w:r>
      <w:r w:rsidR="00E619D8" w:rsidRPr="00C906B2">
        <w:rPr>
          <w:rFonts w:ascii="Century Gothic" w:hAnsi="Century Gothic"/>
          <w:sz w:val="24"/>
          <w:szCs w:val="24"/>
        </w:rPr>
        <w:t>abeira</w:t>
      </w:r>
      <w:r w:rsidR="002D43EE">
        <w:rPr>
          <w:rFonts w:ascii="Century Gothic" w:hAnsi="Century Gothic"/>
          <w:sz w:val="24"/>
          <w:szCs w:val="24"/>
        </w:rPr>
        <w:t xml:space="preserve"> </w:t>
      </w:r>
      <w:r w:rsidR="00DD661E" w:rsidRPr="00C906B2">
        <w:rPr>
          <w:rFonts w:ascii="Century Gothic" w:hAnsi="Century Gothic"/>
          <w:sz w:val="24"/>
          <w:szCs w:val="24"/>
        </w:rPr>
        <w:t>paluma em função da aplicação via irrigação de doses semanais de 0 até 5 kg ha</w:t>
      </w:r>
      <w:r w:rsidR="00DD661E" w:rsidRPr="00C906B2">
        <w:rPr>
          <w:rFonts w:ascii="Century Gothic" w:hAnsi="Century Gothic"/>
          <w:sz w:val="24"/>
          <w:szCs w:val="24"/>
          <w:vertAlign w:val="superscript"/>
        </w:rPr>
        <w:t>-1</w:t>
      </w:r>
      <w:r w:rsidR="00DD661E" w:rsidRPr="00C906B2">
        <w:rPr>
          <w:rFonts w:ascii="Century Gothic" w:hAnsi="Century Gothic"/>
          <w:sz w:val="24"/>
          <w:szCs w:val="24"/>
        </w:rPr>
        <w:t xml:space="preserve"> de sulfato de amônio, </w:t>
      </w:r>
      <w:r w:rsidR="00E619D8" w:rsidRPr="00C906B2">
        <w:rPr>
          <w:rFonts w:ascii="Century Gothic" w:hAnsi="Century Gothic"/>
          <w:sz w:val="24"/>
          <w:szCs w:val="24"/>
        </w:rPr>
        <w:t xml:space="preserve">também não verificaram efeito significativo para os teores </w:t>
      </w:r>
      <w:r w:rsidR="00934808">
        <w:rPr>
          <w:rFonts w:ascii="Century Gothic" w:hAnsi="Century Gothic"/>
          <w:sz w:val="24"/>
          <w:szCs w:val="24"/>
        </w:rPr>
        <w:t xml:space="preserve">foliares </w:t>
      </w:r>
      <w:r w:rsidR="00E619D8" w:rsidRPr="00C906B2">
        <w:rPr>
          <w:rFonts w:ascii="Century Gothic" w:hAnsi="Century Gothic"/>
          <w:sz w:val="24"/>
          <w:szCs w:val="24"/>
        </w:rPr>
        <w:t>de boro e zinco.</w:t>
      </w:r>
      <w:r w:rsidR="00BB360C">
        <w:rPr>
          <w:rFonts w:ascii="Century Gothic" w:hAnsi="Century Gothic"/>
          <w:sz w:val="24"/>
          <w:szCs w:val="24"/>
        </w:rPr>
        <w:t xml:space="preserve"> </w:t>
      </w:r>
      <w:r w:rsidR="00C32856" w:rsidRPr="00C906B2">
        <w:rPr>
          <w:rFonts w:ascii="Century Gothic" w:hAnsi="Century Gothic"/>
          <w:sz w:val="24"/>
          <w:szCs w:val="24"/>
        </w:rPr>
        <w:t xml:space="preserve">Em </w:t>
      </w:r>
      <w:r w:rsidR="00C32856" w:rsidRPr="00C62BC9">
        <w:rPr>
          <w:rFonts w:ascii="Century Gothic" w:hAnsi="Century Gothic"/>
          <w:sz w:val="24"/>
          <w:szCs w:val="24"/>
        </w:rPr>
        <w:t xml:space="preserve">contrapartida, </w:t>
      </w:r>
      <w:r w:rsidR="00714445" w:rsidRPr="00C62BC9">
        <w:rPr>
          <w:rFonts w:ascii="Century Gothic" w:hAnsi="Century Gothic"/>
          <w:sz w:val="24"/>
          <w:szCs w:val="24"/>
        </w:rPr>
        <w:t>Amorim</w:t>
      </w:r>
      <w:r w:rsidR="00BB360C">
        <w:rPr>
          <w:rFonts w:ascii="Century Gothic" w:hAnsi="Century Gothic"/>
          <w:sz w:val="24"/>
          <w:szCs w:val="24"/>
        </w:rPr>
        <w:t xml:space="preserve"> </w:t>
      </w:r>
      <w:r w:rsidR="00C32856" w:rsidRPr="00C62BC9">
        <w:rPr>
          <w:rFonts w:ascii="Century Gothic" w:hAnsi="Century Gothic"/>
          <w:sz w:val="24"/>
          <w:szCs w:val="24"/>
        </w:rPr>
        <w:t>et al.</w:t>
      </w:r>
      <w:r w:rsidR="00C32856" w:rsidRPr="00C906B2">
        <w:rPr>
          <w:rFonts w:ascii="Century Gothic" w:hAnsi="Century Gothic"/>
          <w:sz w:val="24"/>
          <w:szCs w:val="24"/>
        </w:rPr>
        <w:t xml:space="preserve"> (2015) </w:t>
      </w:r>
      <w:r w:rsidR="00CE4674" w:rsidRPr="00C906B2">
        <w:rPr>
          <w:rFonts w:ascii="Century Gothic" w:hAnsi="Century Gothic"/>
          <w:sz w:val="24"/>
          <w:szCs w:val="24"/>
        </w:rPr>
        <w:t>estudando diferentes doses de nitrogênio e potássio em g</w:t>
      </w:r>
      <w:r w:rsidR="00CE4674" w:rsidRPr="00BB360C">
        <w:rPr>
          <w:rFonts w:ascii="Century Gothic" w:hAnsi="Century Gothic"/>
          <w:sz w:val="24"/>
          <w:szCs w:val="24"/>
        </w:rPr>
        <w:t>oiab</w:t>
      </w:r>
      <w:r w:rsidR="000E3826" w:rsidRPr="00BB360C">
        <w:rPr>
          <w:rFonts w:ascii="Century Gothic" w:hAnsi="Century Gothic"/>
          <w:sz w:val="24"/>
          <w:szCs w:val="24"/>
        </w:rPr>
        <w:t>eir</w:t>
      </w:r>
      <w:r w:rsidR="00CE4674" w:rsidRPr="00C906B2">
        <w:rPr>
          <w:rFonts w:ascii="Century Gothic" w:hAnsi="Century Gothic"/>
          <w:sz w:val="24"/>
          <w:szCs w:val="24"/>
        </w:rPr>
        <w:t xml:space="preserve">a </w:t>
      </w:r>
      <w:r w:rsidR="00C32856" w:rsidRPr="00C906B2">
        <w:rPr>
          <w:rFonts w:ascii="Century Gothic" w:hAnsi="Century Gothic"/>
          <w:sz w:val="24"/>
          <w:szCs w:val="24"/>
        </w:rPr>
        <w:t>consta</w:t>
      </w:r>
      <w:r w:rsidR="00CE4674" w:rsidRPr="00C906B2">
        <w:rPr>
          <w:rFonts w:ascii="Century Gothic" w:hAnsi="Century Gothic"/>
          <w:sz w:val="24"/>
          <w:szCs w:val="24"/>
        </w:rPr>
        <w:t>ta</w:t>
      </w:r>
      <w:r w:rsidR="00C32856" w:rsidRPr="00C906B2">
        <w:rPr>
          <w:rFonts w:ascii="Century Gothic" w:hAnsi="Century Gothic"/>
          <w:sz w:val="24"/>
          <w:szCs w:val="24"/>
        </w:rPr>
        <w:t xml:space="preserve">ram </w:t>
      </w:r>
      <w:r w:rsidR="00C32856" w:rsidRPr="00C906B2">
        <w:rPr>
          <w:rFonts w:ascii="Century Gothic" w:hAnsi="Century Gothic"/>
          <w:sz w:val="24"/>
          <w:szCs w:val="24"/>
        </w:rPr>
        <w:lastRenderedPageBreak/>
        <w:t xml:space="preserve">que </w:t>
      </w:r>
      <w:r w:rsidR="00714445" w:rsidRPr="00C906B2">
        <w:rPr>
          <w:rFonts w:ascii="Century Gothic" w:hAnsi="Century Gothic"/>
          <w:sz w:val="24"/>
          <w:szCs w:val="24"/>
        </w:rPr>
        <w:t xml:space="preserve">a adubação nitrogenada promoveu aumento nos teores foliares de </w:t>
      </w:r>
      <w:r w:rsidR="000C1BEC" w:rsidRPr="00C906B2">
        <w:rPr>
          <w:rFonts w:ascii="Century Gothic" w:hAnsi="Century Gothic"/>
          <w:sz w:val="24"/>
          <w:szCs w:val="24"/>
        </w:rPr>
        <w:t xml:space="preserve">Mn e decréscimos de </w:t>
      </w:r>
      <w:r w:rsidR="00714445" w:rsidRPr="00C906B2">
        <w:rPr>
          <w:rFonts w:ascii="Century Gothic" w:hAnsi="Century Gothic"/>
          <w:sz w:val="24"/>
          <w:szCs w:val="24"/>
        </w:rPr>
        <w:t>B.</w:t>
      </w:r>
    </w:p>
    <w:p w:rsidR="006D59FF" w:rsidRDefault="006D59FF" w:rsidP="00B614E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Destaca-se que o manejo de micronutrientes não é simples devido às pequenas quantidades exigidas pela cultura, à estreita faixa entre suficiência e toxidez e à influência de fatores de solo quanto à disponibilidade às plantas.</w:t>
      </w:r>
    </w:p>
    <w:p w:rsidR="00143A78" w:rsidRPr="00C906B2" w:rsidRDefault="00172EA7" w:rsidP="00F167FA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C906B2">
        <w:rPr>
          <w:rFonts w:ascii="Century Gothic" w:hAnsi="Century Gothic"/>
          <w:sz w:val="24"/>
          <w:szCs w:val="24"/>
        </w:rPr>
        <w:tab/>
      </w:r>
    </w:p>
    <w:p w:rsidR="0077264D" w:rsidRDefault="00736996" w:rsidP="0076416D">
      <w:pPr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A162AC">
        <w:rPr>
          <w:rFonts w:ascii="Century Gothic" w:hAnsi="Century Gothic"/>
          <w:b/>
          <w:sz w:val="24"/>
          <w:szCs w:val="24"/>
        </w:rPr>
        <w:t>Referê</w:t>
      </w:r>
      <w:r w:rsidR="000B5440" w:rsidRPr="00A162AC">
        <w:rPr>
          <w:rFonts w:ascii="Century Gothic" w:hAnsi="Century Gothic"/>
          <w:b/>
          <w:sz w:val="24"/>
          <w:szCs w:val="24"/>
        </w:rPr>
        <w:t>ncias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iCs/>
          <w:sz w:val="24"/>
          <w:szCs w:val="24"/>
        </w:rPr>
      </w:pPr>
      <w:r w:rsidRPr="00F148B0">
        <w:rPr>
          <w:rFonts w:ascii="Century Gothic" w:hAnsi="Century Gothic"/>
          <w:iCs/>
          <w:sz w:val="24"/>
          <w:szCs w:val="24"/>
        </w:rPr>
        <w:t xml:space="preserve">Alencar, R.D., Leite, G.A., Mendonça, V.M, Lima, F.V., Pereira, G.A., Farias, W.C. 2016. 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Potassium fertilization influencing the production and postharvest quality of ‘Paluma’ guava grown under semiarid conditions at Rio Grande do Norte, Brazil. </w:t>
      </w:r>
      <w:r w:rsidRPr="00F148B0">
        <w:rPr>
          <w:rFonts w:ascii="Century Gothic" w:hAnsi="Century Gothic"/>
          <w:i/>
          <w:iCs/>
          <w:sz w:val="24"/>
          <w:szCs w:val="24"/>
        </w:rPr>
        <w:t>Comunicata</w:t>
      </w:r>
      <w:r w:rsidR="00BB360C">
        <w:rPr>
          <w:rFonts w:ascii="Century Gothic" w:hAnsi="Century Gothic"/>
          <w:i/>
          <w:iCs/>
          <w:sz w:val="24"/>
          <w:szCs w:val="24"/>
        </w:rPr>
        <w:t xml:space="preserve"> </w:t>
      </w:r>
      <w:r w:rsidRPr="00F148B0">
        <w:rPr>
          <w:rFonts w:ascii="Century Gothic" w:hAnsi="Century Gothic"/>
          <w:i/>
          <w:iCs/>
          <w:sz w:val="24"/>
          <w:szCs w:val="24"/>
        </w:rPr>
        <w:t>Scientiae</w:t>
      </w:r>
      <w:r w:rsidRPr="00F148B0">
        <w:rPr>
          <w:rFonts w:ascii="Century Gothic" w:hAnsi="Century Gothic"/>
          <w:iCs/>
          <w:sz w:val="24"/>
          <w:szCs w:val="24"/>
        </w:rPr>
        <w:t xml:space="preserve"> 7: 139-148.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 xml:space="preserve">Amorim, D.A., Souza, H.A., Rozane, D.E., Montes, R. M., Natale, W. 2015. Adubação nitrogenada e potássica em goiabeiras 'Paluma': </w:t>
      </w:r>
      <w:r w:rsidR="00F148B0" w:rsidRPr="00F148B0">
        <w:rPr>
          <w:rFonts w:ascii="Century Gothic" w:hAnsi="Century Gothic"/>
          <w:sz w:val="24"/>
          <w:szCs w:val="24"/>
        </w:rPr>
        <w:t xml:space="preserve">efeito </w:t>
      </w:r>
      <w:r w:rsidRPr="00F148B0">
        <w:rPr>
          <w:rFonts w:ascii="Century Gothic" w:hAnsi="Century Gothic"/>
          <w:sz w:val="24"/>
          <w:szCs w:val="24"/>
        </w:rPr>
        <w:t xml:space="preserve">no estado nutricional das plantas. </w:t>
      </w:r>
      <w:r w:rsidRPr="00F148B0">
        <w:rPr>
          <w:rFonts w:ascii="Century Gothic" w:hAnsi="Century Gothic"/>
          <w:i/>
          <w:sz w:val="24"/>
          <w:szCs w:val="24"/>
        </w:rPr>
        <w:t>Revista Brasileira de Fruticultura</w:t>
      </w:r>
      <w:r w:rsidRPr="00F148B0">
        <w:rPr>
          <w:rFonts w:ascii="Century Gothic" w:hAnsi="Century Gothic"/>
          <w:sz w:val="24"/>
          <w:szCs w:val="24"/>
        </w:rPr>
        <w:t xml:space="preserve"> 37: 210-219.</w:t>
      </w:r>
    </w:p>
    <w:p w:rsidR="0076416D" w:rsidRPr="00F148B0" w:rsidRDefault="006D59FF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>Cavalcante, Í</w:t>
      </w:r>
      <w:r w:rsidR="0076416D" w:rsidRPr="00F148B0">
        <w:rPr>
          <w:rFonts w:ascii="Century Gothic" w:hAnsi="Century Gothic"/>
          <w:sz w:val="24"/>
          <w:szCs w:val="24"/>
        </w:rPr>
        <w:t>.H.L., Silva, G.F., Ca</w:t>
      </w:r>
      <w:r w:rsidR="00F148B0">
        <w:rPr>
          <w:rFonts w:ascii="Century Gothic" w:hAnsi="Century Gothic"/>
          <w:sz w:val="24"/>
          <w:szCs w:val="24"/>
        </w:rPr>
        <w:t>valcante, L.F., Santos, D., Beck</w:t>
      </w:r>
      <w:r w:rsidR="0076416D" w:rsidRPr="00F148B0">
        <w:rPr>
          <w:rFonts w:ascii="Century Gothic" w:hAnsi="Century Gothic"/>
          <w:sz w:val="24"/>
          <w:szCs w:val="24"/>
        </w:rPr>
        <w:t>mann-Cavalcante, M.Z. 2008</w:t>
      </w:r>
      <w:r w:rsidR="002B35B2" w:rsidRPr="00F148B0">
        <w:rPr>
          <w:rFonts w:ascii="Century Gothic" w:hAnsi="Century Gothic"/>
          <w:sz w:val="24"/>
          <w:szCs w:val="24"/>
        </w:rPr>
        <w:t>b</w:t>
      </w:r>
      <w:r w:rsidR="0076416D" w:rsidRPr="00F148B0">
        <w:rPr>
          <w:rFonts w:ascii="Century Gothic" w:hAnsi="Century Gothic"/>
          <w:sz w:val="24"/>
          <w:szCs w:val="24"/>
        </w:rPr>
        <w:t xml:space="preserve">. Composição mineral de folhas de goiabeira Paluma em função da adubação sulfato-nitrogenada. </w:t>
      </w:r>
      <w:r w:rsidR="0076416D" w:rsidRPr="00F148B0">
        <w:rPr>
          <w:rFonts w:ascii="Century Gothic" w:hAnsi="Century Gothic"/>
          <w:i/>
          <w:sz w:val="24"/>
          <w:szCs w:val="24"/>
        </w:rPr>
        <w:t>Revista Brasileira de Ciências Agrárias</w:t>
      </w:r>
      <w:r w:rsidR="0076416D" w:rsidRPr="00F148B0">
        <w:rPr>
          <w:rFonts w:ascii="Century Gothic" w:hAnsi="Century Gothic"/>
          <w:sz w:val="24"/>
          <w:szCs w:val="24"/>
        </w:rPr>
        <w:t xml:space="preserve"> 3: 6-12.</w:t>
      </w:r>
    </w:p>
    <w:p w:rsidR="0076416D" w:rsidRPr="00F148B0" w:rsidRDefault="006D59FF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>Cavalcante, L.F., Cavalcante, Í</w:t>
      </w:r>
      <w:r w:rsidR="0076416D" w:rsidRPr="00F148B0">
        <w:rPr>
          <w:rFonts w:ascii="Century Gothic" w:hAnsi="Century Gothic"/>
          <w:sz w:val="24"/>
          <w:szCs w:val="24"/>
        </w:rPr>
        <w:t>.H.L., Santos, G.D. 2008</w:t>
      </w:r>
      <w:r w:rsidR="002B35B2" w:rsidRPr="00F148B0">
        <w:rPr>
          <w:rFonts w:ascii="Century Gothic" w:hAnsi="Century Gothic"/>
          <w:sz w:val="24"/>
          <w:szCs w:val="24"/>
        </w:rPr>
        <w:t>a</w:t>
      </w:r>
      <w:r w:rsidR="0076416D" w:rsidRPr="00F148B0">
        <w:rPr>
          <w:rFonts w:ascii="Century Gothic" w:hAnsi="Century Gothic"/>
          <w:sz w:val="24"/>
          <w:szCs w:val="24"/>
        </w:rPr>
        <w:t xml:space="preserve">. </w:t>
      </w:r>
      <w:r w:rsidR="0076416D" w:rsidRPr="00F148B0">
        <w:rPr>
          <w:rFonts w:ascii="Century Gothic" w:hAnsi="Century Gothic"/>
          <w:sz w:val="24"/>
          <w:szCs w:val="24"/>
          <w:lang w:val="en-US"/>
        </w:rPr>
        <w:t xml:space="preserve">Micronutrient and sodium foliar contents of yellow passion plants as function of biofertilizers. </w:t>
      </w:r>
      <w:r w:rsidR="0076416D" w:rsidRPr="00F148B0">
        <w:rPr>
          <w:rFonts w:ascii="Century Gothic" w:hAnsi="Century Gothic"/>
          <w:i/>
          <w:sz w:val="24"/>
          <w:szCs w:val="24"/>
        </w:rPr>
        <w:t>Fruits</w:t>
      </w:r>
      <w:r w:rsidR="0076416D" w:rsidRPr="00F148B0">
        <w:rPr>
          <w:rFonts w:ascii="Century Gothic" w:hAnsi="Century Gothic"/>
          <w:sz w:val="24"/>
          <w:szCs w:val="24"/>
        </w:rPr>
        <w:t xml:space="preserve"> 60: 1-8. 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 xml:space="preserve">Cavalcante, L.F., Vieira, M.S., Santos, A.F., Oliveira, W.M., Nascimento, E.A.M. 2010. Água </w:t>
      </w:r>
      <w:r w:rsidR="00F148B0" w:rsidRPr="00F148B0">
        <w:rPr>
          <w:rFonts w:ascii="Century Gothic" w:hAnsi="Century Gothic"/>
          <w:sz w:val="24"/>
          <w:szCs w:val="24"/>
        </w:rPr>
        <w:t xml:space="preserve">salina </w:t>
      </w:r>
      <w:r w:rsidRPr="00F148B0">
        <w:rPr>
          <w:rFonts w:ascii="Century Gothic" w:hAnsi="Century Gothic"/>
          <w:sz w:val="24"/>
          <w:szCs w:val="24"/>
        </w:rPr>
        <w:t xml:space="preserve">e </w:t>
      </w:r>
      <w:r w:rsidR="00F148B0" w:rsidRPr="00F148B0">
        <w:rPr>
          <w:rFonts w:ascii="Century Gothic" w:hAnsi="Century Gothic"/>
          <w:sz w:val="24"/>
          <w:szCs w:val="24"/>
        </w:rPr>
        <w:t xml:space="preserve">esterco bovino líquido </w:t>
      </w:r>
      <w:r w:rsidRPr="00F148B0">
        <w:rPr>
          <w:rFonts w:ascii="Century Gothic" w:hAnsi="Century Gothic"/>
          <w:sz w:val="24"/>
          <w:szCs w:val="24"/>
        </w:rPr>
        <w:t xml:space="preserve">na </w:t>
      </w:r>
      <w:r w:rsidR="00F148B0" w:rsidRPr="00F148B0">
        <w:rPr>
          <w:rFonts w:ascii="Century Gothic" w:hAnsi="Century Gothic"/>
          <w:sz w:val="24"/>
          <w:szCs w:val="24"/>
        </w:rPr>
        <w:t xml:space="preserve">formação </w:t>
      </w:r>
      <w:r w:rsidRPr="00F148B0">
        <w:rPr>
          <w:rFonts w:ascii="Century Gothic" w:hAnsi="Century Gothic"/>
          <w:sz w:val="24"/>
          <w:szCs w:val="24"/>
        </w:rPr>
        <w:t xml:space="preserve">de mudas de </w:t>
      </w:r>
      <w:r w:rsidR="00F148B0" w:rsidRPr="00F148B0">
        <w:rPr>
          <w:rFonts w:ascii="Century Gothic" w:hAnsi="Century Gothic"/>
          <w:sz w:val="24"/>
          <w:szCs w:val="24"/>
        </w:rPr>
        <w:t xml:space="preserve">goiabeira cultivar </w:t>
      </w:r>
      <w:r w:rsidRPr="00F148B0">
        <w:rPr>
          <w:rFonts w:ascii="Century Gothic" w:hAnsi="Century Gothic"/>
          <w:sz w:val="24"/>
          <w:szCs w:val="24"/>
        </w:rPr>
        <w:t xml:space="preserve">Paluma. </w:t>
      </w:r>
      <w:r w:rsidRPr="00F148B0">
        <w:rPr>
          <w:rFonts w:ascii="Century Gothic" w:hAnsi="Century Gothic"/>
          <w:i/>
          <w:sz w:val="24"/>
          <w:szCs w:val="24"/>
        </w:rPr>
        <w:t>Revista Brasileira de Fruticultura</w:t>
      </w:r>
      <w:r w:rsidRPr="00F148B0">
        <w:rPr>
          <w:rFonts w:ascii="Century Gothic" w:hAnsi="Century Gothic"/>
          <w:sz w:val="24"/>
          <w:szCs w:val="24"/>
        </w:rPr>
        <w:t xml:space="preserve"> 32: 251-261. </w:t>
      </w:r>
    </w:p>
    <w:p w:rsidR="0076416D" w:rsidRPr="00E01363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F148B0">
        <w:rPr>
          <w:rFonts w:ascii="Century Gothic" w:hAnsi="Century Gothic"/>
          <w:sz w:val="24"/>
          <w:szCs w:val="24"/>
        </w:rPr>
        <w:t xml:space="preserve">Chapman, H.D., Pratt, P.F. 1961. </w:t>
      </w:r>
      <w:r w:rsidRPr="00F148B0">
        <w:rPr>
          <w:rFonts w:ascii="Century Gothic" w:hAnsi="Century Gothic"/>
          <w:i/>
          <w:sz w:val="24"/>
          <w:szCs w:val="24"/>
          <w:lang w:val="en-US"/>
        </w:rPr>
        <w:t>Method of analysis for soils, plants and waters</w:t>
      </w:r>
      <w:r w:rsidRPr="00F148B0">
        <w:rPr>
          <w:rFonts w:ascii="Century Gothic" w:hAnsi="Century Gothic"/>
          <w:sz w:val="24"/>
          <w:szCs w:val="24"/>
          <w:lang w:val="en-US"/>
        </w:rPr>
        <w:t xml:space="preserve">. </w:t>
      </w:r>
      <w:r w:rsidRPr="00E01363">
        <w:rPr>
          <w:rFonts w:ascii="Century Gothic" w:hAnsi="Century Gothic"/>
          <w:sz w:val="24"/>
          <w:szCs w:val="24"/>
          <w:lang w:val="en-US"/>
        </w:rPr>
        <w:t>Agriculture &amp; Natural Resources, Berkeley, USA, 68p.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E01363">
        <w:rPr>
          <w:rFonts w:ascii="Century Gothic" w:hAnsi="Century Gothic"/>
          <w:sz w:val="24"/>
          <w:szCs w:val="24"/>
          <w:lang w:val="en-US"/>
        </w:rPr>
        <w:t xml:space="preserve">Cunha, E.Q., Stone, L.F., Ferreira, E.P.B., Didonet, E.D., Moreira, J.A.A. 2012. </w:t>
      </w:r>
      <w:r w:rsidRPr="00F148B0">
        <w:rPr>
          <w:rFonts w:ascii="Century Gothic" w:hAnsi="Century Gothic"/>
          <w:sz w:val="24"/>
          <w:szCs w:val="24"/>
        </w:rPr>
        <w:t xml:space="preserve">Atributos físicos, químicos e biológicos de solo sob produção orgânica impactados por sistema de cultivo. </w:t>
      </w:r>
      <w:r w:rsidRPr="00F148B0">
        <w:rPr>
          <w:rFonts w:ascii="Century Gothic" w:hAnsi="Century Gothic"/>
          <w:i/>
          <w:sz w:val="24"/>
          <w:szCs w:val="24"/>
        </w:rPr>
        <w:t xml:space="preserve">Revista Brasileira de Engenharia Agrícola e Ambiental </w:t>
      </w:r>
      <w:r w:rsidRPr="00F148B0">
        <w:rPr>
          <w:rFonts w:ascii="Century Gothic" w:hAnsi="Century Gothic"/>
          <w:sz w:val="24"/>
          <w:szCs w:val="24"/>
        </w:rPr>
        <w:t>16: 56-63.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iCs/>
          <w:sz w:val="24"/>
          <w:szCs w:val="24"/>
          <w:lang w:val="en-US"/>
        </w:rPr>
      </w:pPr>
      <w:r w:rsidRPr="00F148B0">
        <w:rPr>
          <w:rFonts w:ascii="Century Gothic" w:hAnsi="Century Gothic"/>
          <w:iCs/>
          <w:sz w:val="24"/>
          <w:szCs w:val="24"/>
        </w:rPr>
        <w:t xml:space="preserve">Dantas S.A.G., Cavalcante, L.F., Alves, E.U., Nascimento, J.A.M., Silva, S.A., Dantas, T.A.G. 2015. 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Physiological quality of yellow passion fruit seed produced under saline water, NPK and bovine biofertilizer. </w:t>
      </w:r>
      <w:r w:rsidRPr="00F148B0">
        <w:rPr>
          <w:rFonts w:ascii="Century Gothic" w:hAnsi="Century Gothic"/>
          <w:i/>
          <w:iCs/>
          <w:sz w:val="24"/>
          <w:szCs w:val="24"/>
          <w:lang w:val="en-US"/>
        </w:rPr>
        <w:t>African Journal of Agricultural Research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 10: 2948-2954.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  <w:lang w:val="en-US"/>
        </w:rPr>
        <w:t xml:space="preserve">Gross, A., Arusi, R., Fine, P., Nejidat, A. 2008. Assessment of extraction methods witf fowl manure for the production of liquid organic fertilizers. </w:t>
      </w:r>
      <w:r w:rsidRPr="00F148B0">
        <w:rPr>
          <w:rFonts w:ascii="Century Gothic" w:hAnsi="Century Gothic"/>
          <w:i/>
          <w:sz w:val="24"/>
          <w:szCs w:val="24"/>
        </w:rPr>
        <w:t>Bioresource Technology</w:t>
      </w:r>
      <w:r w:rsidRPr="00F148B0">
        <w:rPr>
          <w:rFonts w:ascii="Century Gothic" w:hAnsi="Century Gothic"/>
          <w:sz w:val="24"/>
          <w:szCs w:val="24"/>
        </w:rPr>
        <w:t xml:space="preserve"> 99: 327-334.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lastRenderedPageBreak/>
        <w:t>IBGE. Banco de dados agregados do Instituto Brasileiro de Geografia e Estatística. 2014. http://www.sidra.ibge.gov.br &lt;Acesso em: 13 Abr. 2016&gt;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bCs/>
          <w:sz w:val="24"/>
          <w:szCs w:val="24"/>
        </w:rPr>
      </w:pPr>
      <w:r w:rsidRPr="00F148B0">
        <w:rPr>
          <w:rFonts w:ascii="Century Gothic" w:hAnsi="Century Gothic"/>
          <w:bCs/>
          <w:sz w:val="24"/>
          <w:szCs w:val="24"/>
        </w:rPr>
        <w:t xml:space="preserve">Lima Neto, A.J., Natale, W., Modesto, V.C. 2015. Resposta de porta-enxertos de caramboleira à adubação com zinco. </w:t>
      </w:r>
      <w:r w:rsidRPr="00F148B0">
        <w:rPr>
          <w:rFonts w:ascii="Century Gothic" w:hAnsi="Century Gothic"/>
          <w:bCs/>
          <w:i/>
          <w:sz w:val="24"/>
          <w:szCs w:val="24"/>
        </w:rPr>
        <w:t xml:space="preserve">Revista Brasileira de Fruticultura </w:t>
      </w:r>
      <w:r w:rsidRPr="00F148B0">
        <w:rPr>
          <w:rFonts w:ascii="Century Gothic" w:hAnsi="Century Gothic"/>
          <w:bCs/>
          <w:sz w:val="24"/>
          <w:szCs w:val="24"/>
        </w:rPr>
        <w:t>37: 1074-1082.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 xml:space="preserve">Natale, W., Coutinho, E.L.M., Pereira, F.M., Boaretto, A.E. 2002. </w:t>
      </w:r>
      <w:r w:rsidRPr="00F148B0">
        <w:rPr>
          <w:rFonts w:ascii="Century Gothic" w:hAnsi="Century Gothic"/>
          <w:sz w:val="24"/>
          <w:szCs w:val="24"/>
          <w:lang w:val="en-US"/>
        </w:rPr>
        <w:t xml:space="preserve">Nutrients foliar content for high productivity cultivars of guava in Brazil. </w:t>
      </w:r>
      <w:r w:rsidRPr="00F148B0">
        <w:rPr>
          <w:rFonts w:ascii="Century Gothic" w:hAnsi="Century Gothic"/>
          <w:i/>
          <w:sz w:val="24"/>
          <w:szCs w:val="24"/>
        </w:rPr>
        <w:t>Acta Horticulturae</w:t>
      </w:r>
      <w:r w:rsidRPr="00F148B0">
        <w:rPr>
          <w:rFonts w:ascii="Century Gothic" w:hAnsi="Century Gothic"/>
          <w:sz w:val="24"/>
          <w:szCs w:val="24"/>
        </w:rPr>
        <w:t xml:space="preserve"> 594: 383-386.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 xml:space="preserve">Natale, W., Prado, R.M. 2002. </w:t>
      </w:r>
      <w:r w:rsidRPr="00F148B0">
        <w:rPr>
          <w:rFonts w:ascii="Century Gothic" w:hAnsi="Century Gothic"/>
          <w:i/>
          <w:sz w:val="24"/>
          <w:szCs w:val="24"/>
        </w:rPr>
        <w:t xml:space="preserve">Fertirrigação em </w:t>
      </w:r>
      <w:r w:rsidR="006D59FF" w:rsidRPr="00F148B0">
        <w:rPr>
          <w:rFonts w:ascii="Century Gothic" w:hAnsi="Century Gothic"/>
          <w:i/>
          <w:sz w:val="24"/>
          <w:szCs w:val="24"/>
        </w:rPr>
        <w:t>goiabeira</w:t>
      </w:r>
      <w:r w:rsidR="006D59FF" w:rsidRPr="00F148B0">
        <w:rPr>
          <w:rFonts w:ascii="Century Gothic" w:hAnsi="Century Gothic"/>
          <w:sz w:val="24"/>
          <w:szCs w:val="24"/>
        </w:rPr>
        <w:t>. U</w:t>
      </w:r>
      <w:r w:rsidRPr="00F148B0">
        <w:rPr>
          <w:rFonts w:ascii="Century Gothic" w:hAnsi="Century Gothic"/>
          <w:sz w:val="24"/>
          <w:szCs w:val="24"/>
        </w:rPr>
        <w:t>nesp, Jaboticabal, Brasil. 41 p.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</w:rPr>
      </w:pPr>
      <w:r w:rsidRPr="00F148B0">
        <w:rPr>
          <w:rFonts w:ascii="Century Gothic" w:hAnsi="Century Gothic"/>
          <w:sz w:val="24"/>
          <w:szCs w:val="24"/>
        </w:rPr>
        <w:t xml:space="preserve">Natale, W., Rozane, D.E., Souza, H.A., Amorim, D.A. 2009. </w:t>
      </w:r>
      <w:r w:rsidRPr="00F148B0">
        <w:rPr>
          <w:rFonts w:ascii="Century Gothic" w:hAnsi="Century Gothic"/>
          <w:i/>
          <w:sz w:val="24"/>
          <w:szCs w:val="24"/>
        </w:rPr>
        <w:t>Cultura da goiaba: do plantio à comercialização</w:t>
      </w:r>
      <w:r w:rsidRPr="00F148B0">
        <w:rPr>
          <w:rFonts w:ascii="Century Gothic" w:hAnsi="Century Gothic"/>
          <w:sz w:val="24"/>
          <w:szCs w:val="24"/>
        </w:rPr>
        <w:t>. Unesp, Jaboticabal, Brasil. 573 p.</w:t>
      </w:r>
    </w:p>
    <w:p w:rsidR="0076416D" w:rsidRPr="00E01363" w:rsidRDefault="0076416D" w:rsidP="000E3826">
      <w:pPr>
        <w:spacing w:after="240" w:line="240" w:lineRule="auto"/>
        <w:jc w:val="both"/>
        <w:rPr>
          <w:rFonts w:ascii="Century Gothic" w:hAnsi="Century Gothic"/>
          <w:iCs/>
          <w:sz w:val="24"/>
          <w:szCs w:val="24"/>
          <w:lang w:val="en-US"/>
        </w:rPr>
      </w:pPr>
      <w:r w:rsidRPr="00E01363">
        <w:rPr>
          <w:rFonts w:ascii="Century Gothic" w:hAnsi="Century Gothic"/>
          <w:iCs/>
          <w:sz w:val="24"/>
          <w:szCs w:val="24"/>
        </w:rPr>
        <w:t xml:space="preserve">Ramniwas, K.R.A., Pareek, S.D.K., Singh, V. 2013. 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>Effect of drip fertigation scheduling on fertilizer use efficiency, leaf nutrient status, yield and quality of ‘shweta’ guava (</w:t>
      </w:r>
      <w:r w:rsidRPr="00F148B0">
        <w:rPr>
          <w:rFonts w:ascii="Century Gothic" w:hAnsi="Century Gothic"/>
          <w:i/>
          <w:iCs/>
          <w:sz w:val="24"/>
          <w:szCs w:val="24"/>
          <w:lang w:val="en-US"/>
        </w:rPr>
        <w:t>Psidium guajava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 L.) under meadow orcharding. </w:t>
      </w:r>
      <w:r w:rsidRPr="00E01363">
        <w:rPr>
          <w:rFonts w:ascii="Century Gothic" w:hAnsi="Century Gothic"/>
          <w:i/>
          <w:iCs/>
          <w:sz w:val="24"/>
          <w:szCs w:val="24"/>
          <w:lang w:val="en-US"/>
        </w:rPr>
        <w:t>National Academy Science Letters</w:t>
      </w:r>
      <w:r w:rsidRPr="00E01363">
        <w:rPr>
          <w:rFonts w:ascii="Century Gothic" w:hAnsi="Century Gothic"/>
          <w:iCs/>
          <w:sz w:val="24"/>
          <w:szCs w:val="24"/>
          <w:lang w:val="en-US"/>
        </w:rPr>
        <w:t xml:space="preserve"> 36: 483-488.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iCs/>
          <w:sz w:val="24"/>
          <w:szCs w:val="24"/>
          <w:lang w:val="en-US"/>
        </w:rPr>
      </w:pPr>
      <w:r w:rsidRPr="00E01363">
        <w:rPr>
          <w:rFonts w:ascii="Century Gothic" w:hAnsi="Century Gothic"/>
          <w:iCs/>
          <w:sz w:val="24"/>
          <w:szCs w:val="24"/>
          <w:lang w:val="en-US"/>
        </w:rPr>
        <w:t>Rocha, L.F., Cavalcante, L.F., Nunes, J.C., Souto, A.G.L., Cavalcante, A.C.P., </w:t>
      </w:r>
      <w:r w:rsidR="00A162AC" w:rsidRPr="00E01363">
        <w:rPr>
          <w:rFonts w:ascii="Century Gothic" w:hAnsi="Century Gothic"/>
          <w:bCs/>
          <w:iCs/>
          <w:sz w:val="24"/>
          <w:szCs w:val="24"/>
          <w:lang w:val="en-US"/>
        </w:rPr>
        <w:t>Cavalcante, Í</w:t>
      </w:r>
      <w:r w:rsidRPr="00E01363">
        <w:rPr>
          <w:rFonts w:ascii="Century Gothic" w:hAnsi="Century Gothic"/>
          <w:bCs/>
          <w:iCs/>
          <w:sz w:val="24"/>
          <w:szCs w:val="24"/>
          <w:lang w:val="en-US"/>
        </w:rPr>
        <w:t>.H.L.</w:t>
      </w:r>
      <w:r w:rsidRPr="00E01363">
        <w:rPr>
          <w:rFonts w:ascii="Century Gothic" w:hAnsi="Century Gothic"/>
          <w:iCs/>
          <w:sz w:val="24"/>
          <w:szCs w:val="24"/>
          <w:lang w:val="en-US"/>
        </w:rPr>
        <w:t xml:space="preserve">, Pereira, W.E. 2016. 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Fruit production and quality of guava Paluma as a function of humic substances and soil mulching. </w:t>
      </w:r>
      <w:r w:rsidRPr="00F148B0">
        <w:rPr>
          <w:rFonts w:ascii="Century Gothic" w:hAnsi="Century Gothic"/>
          <w:i/>
          <w:iCs/>
          <w:sz w:val="24"/>
          <w:szCs w:val="24"/>
          <w:lang w:val="en-US"/>
        </w:rPr>
        <w:t>African Journal of Biotechnology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 15: 1962-1969.</w:t>
      </w:r>
    </w:p>
    <w:p w:rsidR="0076416D" w:rsidRPr="00F148B0" w:rsidRDefault="0076416D" w:rsidP="000E3826">
      <w:pPr>
        <w:spacing w:after="240" w:line="240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F148B0">
        <w:rPr>
          <w:rFonts w:ascii="Century Gothic" w:hAnsi="Century Gothic"/>
          <w:sz w:val="24"/>
          <w:szCs w:val="24"/>
          <w:lang w:val="en-US"/>
        </w:rPr>
        <w:t xml:space="preserve">Rodrigues, M.S., Santana, M.C., Uchoa, A.L.P., Menezes, A.X.S.M., Cavalcante, </w:t>
      </w:r>
      <w:r w:rsidR="008554F5">
        <w:rPr>
          <w:rFonts w:ascii="Century Gothic" w:hAnsi="Century Gothic"/>
          <w:sz w:val="24"/>
          <w:szCs w:val="24"/>
          <w:lang w:val="en-US"/>
        </w:rPr>
        <w:t>Í</w:t>
      </w:r>
      <w:r w:rsidRPr="00F148B0">
        <w:rPr>
          <w:rFonts w:ascii="Century Gothic" w:hAnsi="Century Gothic"/>
          <w:sz w:val="24"/>
          <w:szCs w:val="24"/>
          <w:lang w:val="en-US"/>
        </w:rPr>
        <w:t xml:space="preserve">.H.L., Lima, A.M.N. 2015. Delineation of management zones based on soil physical attributes in an irrigated guava field in the Semi-Arid region, Brazil. </w:t>
      </w:r>
      <w:r w:rsidRPr="00F148B0">
        <w:rPr>
          <w:rFonts w:ascii="Century Gothic" w:hAnsi="Century Gothic"/>
          <w:i/>
          <w:sz w:val="24"/>
          <w:szCs w:val="24"/>
          <w:lang w:val="en-US"/>
        </w:rPr>
        <w:t>African Journal of Agricultural Research</w:t>
      </w:r>
      <w:r w:rsidRPr="00F148B0">
        <w:rPr>
          <w:rFonts w:ascii="Century Gothic" w:hAnsi="Century Gothic"/>
          <w:sz w:val="24"/>
          <w:szCs w:val="24"/>
          <w:lang w:val="en-US"/>
        </w:rPr>
        <w:t xml:space="preserve"> 10: 4185-4192.</w:t>
      </w:r>
    </w:p>
    <w:p w:rsidR="0076416D" w:rsidRPr="00B7184E" w:rsidRDefault="0076416D" w:rsidP="00B7184E">
      <w:pPr>
        <w:spacing w:after="240" w:line="240" w:lineRule="auto"/>
        <w:jc w:val="both"/>
        <w:rPr>
          <w:rFonts w:ascii="Century Gothic" w:hAnsi="Century Gothic"/>
          <w:iCs/>
          <w:sz w:val="24"/>
          <w:szCs w:val="24"/>
          <w:lang w:val="en-US"/>
        </w:rPr>
      </w:pPr>
      <w:r w:rsidRPr="00F148B0">
        <w:rPr>
          <w:rFonts w:ascii="Century Gothic" w:hAnsi="Century Gothic"/>
          <w:iCs/>
          <w:sz w:val="24"/>
          <w:szCs w:val="24"/>
          <w:lang w:val="en-US"/>
        </w:rPr>
        <w:t>Sharma, A., Wali, V.K., Bakshi, P., Jamwal, M. 2011. Effect of organic manures and biofertilizers on leaf and fruit nutrient status in guava (</w:t>
      </w:r>
      <w:r w:rsidRPr="00F148B0">
        <w:rPr>
          <w:rFonts w:ascii="Century Gothic" w:hAnsi="Century Gothic"/>
          <w:i/>
          <w:iCs/>
          <w:sz w:val="24"/>
          <w:szCs w:val="24"/>
          <w:lang w:val="en-US"/>
        </w:rPr>
        <w:t>Psidium guajava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 L.) cv. Sardar</w:t>
      </w:r>
      <w:r w:rsidRPr="00F148B0">
        <w:rPr>
          <w:rFonts w:ascii="Century Gothic" w:hAnsi="Century Gothic"/>
          <w:i/>
          <w:iCs/>
          <w:sz w:val="24"/>
          <w:szCs w:val="24"/>
          <w:lang w:val="en-US"/>
        </w:rPr>
        <w:t>. Journal of Horticultural Science</w:t>
      </w:r>
      <w:r w:rsidRPr="00F148B0">
        <w:rPr>
          <w:rFonts w:ascii="Century Gothic" w:hAnsi="Century Gothic"/>
          <w:iCs/>
          <w:sz w:val="24"/>
          <w:szCs w:val="24"/>
          <w:lang w:val="en-US"/>
        </w:rPr>
        <w:t xml:space="preserve"> 6: 169-171. </w:t>
      </w:r>
    </w:p>
    <w:sectPr w:rsidR="0076416D" w:rsidRPr="00B7184E" w:rsidSect="00F93580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02" w:rsidRDefault="00706302" w:rsidP="00256CA4">
      <w:pPr>
        <w:spacing w:after="0" w:line="240" w:lineRule="auto"/>
      </w:pPr>
      <w:r>
        <w:separator/>
      </w:r>
    </w:p>
  </w:endnote>
  <w:endnote w:type="continuationSeparator" w:id="0">
    <w:p w:rsidR="00706302" w:rsidRDefault="00706302" w:rsidP="0025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02" w:rsidRDefault="00706302" w:rsidP="00256CA4">
      <w:pPr>
        <w:spacing w:after="0" w:line="240" w:lineRule="auto"/>
      </w:pPr>
      <w:r>
        <w:separator/>
      </w:r>
    </w:p>
  </w:footnote>
  <w:footnote w:type="continuationSeparator" w:id="0">
    <w:p w:rsidR="00706302" w:rsidRDefault="00706302" w:rsidP="00256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065"/>
    <w:rsid w:val="00011E79"/>
    <w:rsid w:val="00014B0B"/>
    <w:rsid w:val="00015FEB"/>
    <w:rsid w:val="000655DA"/>
    <w:rsid w:val="000678C2"/>
    <w:rsid w:val="00085590"/>
    <w:rsid w:val="00095D01"/>
    <w:rsid w:val="000A6FA9"/>
    <w:rsid w:val="000B5440"/>
    <w:rsid w:val="000C1BEC"/>
    <w:rsid w:val="000D5A2F"/>
    <w:rsid w:val="000E3826"/>
    <w:rsid w:val="00113F5A"/>
    <w:rsid w:val="00117095"/>
    <w:rsid w:val="00122F16"/>
    <w:rsid w:val="00125ECE"/>
    <w:rsid w:val="0012793C"/>
    <w:rsid w:val="0013465A"/>
    <w:rsid w:val="00136C54"/>
    <w:rsid w:val="00143A78"/>
    <w:rsid w:val="00155B74"/>
    <w:rsid w:val="00171F77"/>
    <w:rsid w:val="00172EA7"/>
    <w:rsid w:val="00176A12"/>
    <w:rsid w:val="00183BAB"/>
    <w:rsid w:val="001961C1"/>
    <w:rsid w:val="001B314F"/>
    <w:rsid w:val="001B73F3"/>
    <w:rsid w:val="001D0B1F"/>
    <w:rsid w:val="001D220F"/>
    <w:rsid w:val="001D4CA2"/>
    <w:rsid w:val="001D5CAE"/>
    <w:rsid w:val="00206F23"/>
    <w:rsid w:val="002137BC"/>
    <w:rsid w:val="00221643"/>
    <w:rsid w:val="00226B52"/>
    <w:rsid w:val="002324D3"/>
    <w:rsid w:val="00256CA4"/>
    <w:rsid w:val="00256D31"/>
    <w:rsid w:val="00282E5E"/>
    <w:rsid w:val="0028513E"/>
    <w:rsid w:val="00286ED3"/>
    <w:rsid w:val="0029343F"/>
    <w:rsid w:val="002A49DD"/>
    <w:rsid w:val="002A77CD"/>
    <w:rsid w:val="002B27FD"/>
    <w:rsid w:val="002B35B2"/>
    <w:rsid w:val="002D0830"/>
    <w:rsid w:val="002D43EE"/>
    <w:rsid w:val="002E3E9F"/>
    <w:rsid w:val="002E6094"/>
    <w:rsid w:val="002F034D"/>
    <w:rsid w:val="003005CC"/>
    <w:rsid w:val="00305F63"/>
    <w:rsid w:val="00313798"/>
    <w:rsid w:val="00313E42"/>
    <w:rsid w:val="003213DB"/>
    <w:rsid w:val="00321FA9"/>
    <w:rsid w:val="0032340B"/>
    <w:rsid w:val="003353D2"/>
    <w:rsid w:val="0035338F"/>
    <w:rsid w:val="00353735"/>
    <w:rsid w:val="00366979"/>
    <w:rsid w:val="003A6F0A"/>
    <w:rsid w:val="003B1891"/>
    <w:rsid w:val="003B58E9"/>
    <w:rsid w:val="003C13F0"/>
    <w:rsid w:val="003C1CCE"/>
    <w:rsid w:val="003C6971"/>
    <w:rsid w:val="003D6896"/>
    <w:rsid w:val="00402EBA"/>
    <w:rsid w:val="00404432"/>
    <w:rsid w:val="004158CB"/>
    <w:rsid w:val="004222D9"/>
    <w:rsid w:val="00427B5A"/>
    <w:rsid w:val="004301EC"/>
    <w:rsid w:val="00431E3E"/>
    <w:rsid w:val="00442F0F"/>
    <w:rsid w:val="00467A80"/>
    <w:rsid w:val="004710F8"/>
    <w:rsid w:val="00476788"/>
    <w:rsid w:val="00481C03"/>
    <w:rsid w:val="00483499"/>
    <w:rsid w:val="004B5592"/>
    <w:rsid w:val="004D1091"/>
    <w:rsid w:val="004D2451"/>
    <w:rsid w:val="004F5DB4"/>
    <w:rsid w:val="005274A0"/>
    <w:rsid w:val="005277E1"/>
    <w:rsid w:val="00537886"/>
    <w:rsid w:val="005462CF"/>
    <w:rsid w:val="00561937"/>
    <w:rsid w:val="00564667"/>
    <w:rsid w:val="005660FE"/>
    <w:rsid w:val="005666F8"/>
    <w:rsid w:val="00576065"/>
    <w:rsid w:val="005A1A60"/>
    <w:rsid w:val="005B0D1E"/>
    <w:rsid w:val="005D1598"/>
    <w:rsid w:val="005D5C4F"/>
    <w:rsid w:val="005E6C52"/>
    <w:rsid w:val="0061001C"/>
    <w:rsid w:val="006242FA"/>
    <w:rsid w:val="00627FFC"/>
    <w:rsid w:val="00644127"/>
    <w:rsid w:val="0064640C"/>
    <w:rsid w:val="00656ABC"/>
    <w:rsid w:val="00661188"/>
    <w:rsid w:val="00663D82"/>
    <w:rsid w:val="00667C03"/>
    <w:rsid w:val="006871C6"/>
    <w:rsid w:val="006A64B0"/>
    <w:rsid w:val="006B6C79"/>
    <w:rsid w:val="006D59FF"/>
    <w:rsid w:val="006E036F"/>
    <w:rsid w:val="006F178E"/>
    <w:rsid w:val="006F2A6F"/>
    <w:rsid w:val="00706302"/>
    <w:rsid w:val="00714445"/>
    <w:rsid w:val="00716972"/>
    <w:rsid w:val="007219CE"/>
    <w:rsid w:val="00736996"/>
    <w:rsid w:val="00736BE8"/>
    <w:rsid w:val="007406B0"/>
    <w:rsid w:val="0076416D"/>
    <w:rsid w:val="0077264D"/>
    <w:rsid w:val="00774DA7"/>
    <w:rsid w:val="007835BE"/>
    <w:rsid w:val="007838DD"/>
    <w:rsid w:val="00797180"/>
    <w:rsid w:val="007A71C7"/>
    <w:rsid w:val="007D111B"/>
    <w:rsid w:val="007D2224"/>
    <w:rsid w:val="007E783E"/>
    <w:rsid w:val="00800AFA"/>
    <w:rsid w:val="00806616"/>
    <w:rsid w:val="00806D46"/>
    <w:rsid w:val="00813D52"/>
    <w:rsid w:val="0082029F"/>
    <w:rsid w:val="00820819"/>
    <w:rsid w:val="00821AD4"/>
    <w:rsid w:val="0083055B"/>
    <w:rsid w:val="008415F3"/>
    <w:rsid w:val="008554F5"/>
    <w:rsid w:val="008672CA"/>
    <w:rsid w:val="00871657"/>
    <w:rsid w:val="00872848"/>
    <w:rsid w:val="00872D1A"/>
    <w:rsid w:val="008772AA"/>
    <w:rsid w:val="008A7024"/>
    <w:rsid w:val="008C28CA"/>
    <w:rsid w:val="008D5EFE"/>
    <w:rsid w:val="008F00A6"/>
    <w:rsid w:val="008F0762"/>
    <w:rsid w:val="00903E34"/>
    <w:rsid w:val="00911045"/>
    <w:rsid w:val="00920E9F"/>
    <w:rsid w:val="009240CA"/>
    <w:rsid w:val="0092683F"/>
    <w:rsid w:val="00934808"/>
    <w:rsid w:val="00962F92"/>
    <w:rsid w:val="0096303B"/>
    <w:rsid w:val="009806D2"/>
    <w:rsid w:val="00986428"/>
    <w:rsid w:val="009A4449"/>
    <w:rsid w:val="009A7BE1"/>
    <w:rsid w:val="009C1BDF"/>
    <w:rsid w:val="009C4C9F"/>
    <w:rsid w:val="009E2D84"/>
    <w:rsid w:val="00A01FF5"/>
    <w:rsid w:val="00A162AC"/>
    <w:rsid w:val="00A22B69"/>
    <w:rsid w:val="00A300F8"/>
    <w:rsid w:val="00A42668"/>
    <w:rsid w:val="00A47467"/>
    <w:rsid w:val="00A60943"/>
    <w:rsid w:val="00A64CF6"/>
    <w:rsid w:val="00A67B99"/>
    <w:rsid w:val="00A96E88"/>
    <w:rsid w:val="00AA1AB1"/>
    <w:rsid w:val="00AA21EC"/>
    <w:rsid w:val="00AB11D9"/>
    <w:rsid w:val="00AB7915"/>
    <w:rsid w:val="00AE3BBC"/>
    <w:rsid w:val="00AE47EE"/>
    <w:rsid w:val="00AE56D3"/>
    <w:rsid w:val="00AF22AC"/>
    <w:rsid w:val="00B2730D"/>
    <w:rsid w:val="00B30743"/>
    <w:rsid w:val="00B34F51"/>
    <w:rsid w:val="00B36FE7"/>
    <w:rsid w:val="00B41B95"/>
    <w:rsid w:val="00B6082F"/>
    <w:rsid w:val="00B614EA"/>
    <w:rsid w:val="00B7184E"/>
    <w:rsid w:val="00B76148"/>
    <w:rsid w:val="00B766DE"/>
    <w:rsid w:val="00B85109"/>
    <w:rsid w:val="00B91177"/>
    <w:rsid w:val="00BA7124"/>
    <w:rsid w:val="00BB267A"/>
    <w:rsid w:val="00BB360C"/>
    <w:rsid w:val="00BB4249"/>
    <w:rsid w:val="00BB5E52"/>
    <w:rsid w:val="00BC07D8"/>
    <w:rsid w:val="00BC5170"/>
    <w:rsid w:val="00BD5919"/>
    <w:rsid w:val="00BE33F6"/>
    <w:rsid w:val="00C00CDA"/>
    <w:rsid w:val="00C24EE9"/>
    <w:rsid w:val="00C32856"/>
    <w:rsid w:val="00C33FA4"/>
    <w:rsid w:val="00C345DE"/>
    <w:rsid w:val="00C62BC9"/>
    <w:rsid w:val="00C72EC8"/>
    <w:rsid w:val="00C802D4"/>
    <w:rsid w:val="00C906B2"/>
    <w:rsid w:val="00C90F1D"/>
    <w:rsid w:val="00C91789"/>
    <w:rsid w:val="00CA4AFF"/>
    <w:rsid w:val="00CD0A82"/>
    <w:rsid w:val="00CE109F"/>
    <w:rsid w:val="00CE4674"/>
    <w:rsid w:val="00CE622B"/>
    <w:rsid w:val="00CF4F89"/>
    <w:rsid w:val="00D030F1"/>
    <w:rsid w:val="00D32AFC"/>
    <w:rsid w:val="00D32D28"/>
    <w:rsid w:val="00D349E2"/>
    <w:rsid w:val="00D439FB"/>
    <w:rsid w:val="00D64210"/>
    <w:rsid w:val="00D95169"/>
    <w:rsid w:val="00D97CE9"/>
    <w:rsid w:val="00DB466E"/>
    <w:rsid w:val="00DD148B"/>
    <w:rsid w:val="00DD1667"/>
    <w:rsid w:val="00DD32B8"/>
    <w:rsid w:val="00DD661E"/>
    <w:rsid w:val="00DF0596"/>
    <w:rsid w:val="00DF5C93"/>
    <w:rsid w:val="00E01363"/>
    <w:rsid w:val="00E0197A"/>
    <w:rsid w:val="00E07F45"/>
    <w:rsid w:val="00E1262D"/>
    <w:rsid w:val="00E16B01"/>
    <w:rsid w:val="00E25398"/>
    <w:rsid w:val="00E40189"/>
    <w:rsid w:val="00E50422"/>
    <w:rsid w:val="00E60DCB"/>
    <w:rsid w:val="00E619D8"/>
    <w:rsid w:val="00E66120"/>
    <w:rsid w:val="00E73CCC"/>
    <w:rsid w:val="00EA35A6"/>
    <w:rsid w:val="00EA39BF"/>
    <w:rsid w:val="00EA44C4"/>
    <w:rsid w:val="00EA76B8"/>
    <w:rsid w:val="00EB011B"/>
    <w:rsid w:val="00EB1CA6"/>
    <w:rsid w:val="00EB4831"/>
    <w:rsid w:val="00EC13E4"/>
    <w:rsid w:val="00EE0AAF"/>
    <w:rsid w:val="00F148B0"/>
    <w:rsid w:val="00F167FA"/>
    <w:rsid w:val="00F230F9"/>
    <w:rsid w:val="00F25D0D"/>
    <w:rsid w:val="00F37714"/>
    <w:rsid w:val="00F52B58"/>
    <w:rsid w:val="00F763FD"/>
    <w:rsid w:val="00F817AF"/>
    <w:rsid w:val="00F84CEB"/>
    <w:rsid w:val="00F93580"/>
    <w:rsid w:val="00F9452F"/>
    <w:rsid w:val="00FB12C2"/>
    <w:rsid w:val="00FB7987"/>
    <w:rsid w:val="00FE0777"/>
    <w:rsid w:val="00FE3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C5170"/>
  </w:style>
  <w:style w:type="paragraph" w:customStyle="1" w:styleId="Default">
    <w:name w:val="Default"/>
    <w:rsid w:val="00B307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egenda">
    <w:name w:val="caption"/>
    <w:basedOn w:val="Normal"/>
    <w:next w:val="Normal"/>
    <w:unhideWhenUsed/>
    <w:qFormat/>
    <w:rsid w:val="004222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2081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66979"/>
  </w:style>
  <w:style w:type="paragraph" w:styleId="Textodebalo">
    <w:name w:val="Balloon Text"/>
    <w:basedOn w:val="Normal"/>
    <w:link w:val="TextodebaloChar"/>
    <w:uiPriority w:val="99"/>
    <w:semiHidden/>
    <w:unhideWhenUsed/>
    <w:rsid w:val="0036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9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6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CA4"/>
  </w:style>
  <w:style w:type="paragraph" w:styleId="Rodap">
    <w:name w:val="footer"/>
    <w:basedOn w:val="Normal"/>
    <w:link w:val="RodapChar"/>
    <w:uiPriority w:val="99"/>
    <w:unhideWhenUsed/>
    <w:rsid w:val="00256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20A2-3087-4CAB-8CF2-0B344021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10</Pages>
  <Words>2508</Words>
  <Characters>13549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</dc:creator>
  <cp:lastModifiedBy>Univasf</cp:lastModifiedBy>
  <cp:revision>9</cp:revision>
  <dcterms:created xsi:type="dcterms:W3CDTF">2016-12-22T10:22:00Z</dcterms:created>
  <dcterms:modified xsi:type="dcterms:W3CDTF">2016-12-23T15:00:00Z</dcterms:modified>
</cp:coreProperties>
</file>